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24C" w:rsidRDefault="00A02DF9" w:rsidP="00A02DF9">
      <w:pPr>
        <w:jc w:val="center"/>
        <w:rPr>
          <w:rFonts w:ascii="Times New Roman" w:hAnsi="Times New Roman" w:cs="Times New Roman"/>
          <w:b/>
          <w:sz w:val="28"/>
          <w:szCs w:val="28"/>
          <w:lang w:val="en-US"/>
        </w:rPr>
      </w:pPr>
      <w:r w:rsidRPr="00A02DF9">
        <w:rPr>
          <w:rFonts w:ascii="Times New Roman" w:hAnsi="Times New Roman" w:cs="Times New Roman"/>
          <w:b/>
          <w:sz w:val="28"/>
          <w:szCs w:val="28"/>
          <w:lang w:val="en-US"/>
        </w:rPr>
        <w:t>The Profitability of Dutch Business in Late-Colonial Indonesia</w:t>
      </w:r>
    </w:p>
    <w:p w:rsidR="00A02DF9" w:rsidRDefault="00A02DF9" w:rsidP="00A02DF9">
      <w:pPr>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J. Thomas </w:t>
      </w:r>
      <w:proofErr w:type="spellStart"/>
      <w:r>
        <w:rPr>
          <w:rFonts w:ascii="Times New Roman" w:hAnsi="Times New Roman" w:cs="Times New Roman"/>
          <w:i/>
          <w:sz w:val="24"/>
          <w:szCs w:val="24"/>
          <w:lang w:val="en-US"/>
        </w:rPr>
        <w:t>Lindblad</w:t>
      </w:r>
      <w:proofErr w:type="spellEnd"/>
    </w:p>
    <w:p w:rsidR="00A02DF9" w:rsidRDefault="00A02DF9" w:rsidP="00A02DF9">
      <w:pPr>
        <w:jc w:val="center"/>
        <w:rPr>
          <w:rFonts w:ascii="Times New Roman" w:hAnsi="Times New Roman" w:cs="Times New Roman"/>
          <w:sz w:val="24"/>
          <w:szCs w:val="24"/>
          <w:lang w:val="en-US"/>
        </w:rPr>
      </w:pPr>
    </w:p>
    <w:p w:rsidR="00A02DF9" w:rsidRDefault="00D379D3" w:rsidP="001B56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Paper </w:t>
      </w:r>
      <w:r w:rsidR="00A02DF9">
        <w:rPr>
          <w:rFonts w:ascii="Times New Roman" w:hAnsi="Times New Roman" w:cs="Times New Roman"/>
          <w:sz w:val="24"/>
          <w:szCs w:val="24"/>
          <w:lang w:val="en-US"/>
        </w:rPr>
        <w:t>present</w:t>
      </w:r>
      <w:r>
        <w:rPr>
          <w:rFonts w:ascii="Times New Roman" w:hAnsi="Times New Roman" w:cs="Times New Roman"/>
          <w:sz w:val="24"/>
          <w:szCs w:val="24"/>
          <w:lang w:val="en-US"/>
        </w:rPr>
        <w:t>ed</w:t>
      </w:r>
      <w:r w:rsidR="00A02DF9">
        <w:rPr>
          <w:rFonts w:ascii="Times New Roman" w:hAnsi="Times New Roman" w:cs="Times New Roman"/>
          <w:sz w:val="24"/>
          <w:szCs w:val="24"/>
          <w:lang w:val="en-US"/>
        </w:rPr>
        <w:t xml:space="preserve"> at the </w:t>
      </w:r>
      <w:r>
        <w:rPr>
          <w:rFonts w:ascii="Times New Roman" w:hAnsi="Times New Roman" w:cs="Times New Roman"/>
          <w:sz w:val="24"/>
          <w:szCs w:val="24"/>
          <w:lang w:val="en-US"/>
        </w:rPr>
        <w:t xml:space="preserve">international workshop </w:t>
      </w:r>
      <w:r w:rsidR="00A02DF9">
        <w:rPr>
          <w:rFonts w:ascii="Times New Roman" w:hAnsi="Times New Roman" w:cs="Times New Roman"/>
          <w:sz w:val="24"/>
          <w:szCs w:val="24"/>
          <w:lang w:val="en-US"/>
        </w:rPr>
        <w:t xml:space="preserve">on </w:t>
      </w:r>
      <w:r w:rsidR="00096C0D">
        <w:rPr>
          <w:rFonts w:ascii="Times New Roman" w:hAnsi="Times New Roman" w:cs="Times New Roman"/>
          <w:sz w:val="24"/>
          <w:szCs w:val="24"/>
          <w:lang w:val="en-US"/>
        </w:rPr>
        <w:t xml:space="preserve">‘Colonial Business in Indonesia: The </w:t>
      </w:r>
      <w:r w:rsidR="00111AA6">
        <w:rPr>
          <w:rFonts w:ascii="Times New Roman" w:hAnsi="Times New Roman" w:cs="Times New Roman"/>
          <w:sz w:val="24"/>
          <w:szCs w:val="24"/>
          <w:lang w:val="en-US"/>
        </w:rPr>
        <w:t>i</w:t>
      </w:r>
      <w:r w:rsidR="00096C0D">
        <w:rPr>
          <w:rFonts w:ascii="Times New Roman" w:hAnsi="Times New Roman" w:cs="Times New Roman"/>
          <w:sz w:val="24"/>
          <w:szCs w:val="24"/>
          <w:lang w:val="en-US"/>
        </w:rPr>
        <w:t xml:space="preserve">mpact of </w:t>
      </w:r>
      <w:r w:rsidR="00111AA6">
        <w:rPr>
          <w:rFonts w:ascii="Times New Roman" w:hAnsi="Times New Roman" w:cs="Times New Roman"/>
          <w:sz w:val="24"/>
          <w:szCs w:val="24"/>
          <w:lang w:val="en-US"/>
        </w:rPr>
        <w:t>f</w:t>
      </w:r>
      <w:r w:rsidR="00096C0D">
        <w:rPr>
          <w:rFonts w:ascii="Times New Roman" w:hAnsi="Times New Roman" w:cs="Times New Roman"/>
          <w:sz w:val="24"/>
          <w:szCs w:val="24"/>
          <w:lang w:val="en-US"/>
        </w:rPr>
        <w:t xml:space="preserve">oreign </w:t>
      </w:r>
      <w:r w:rsidR="00111AA6">
        <w:rPr>
          <w:rFonts w:ascii="Times New Roman" w:hAnsi="Times New Roman" w:cs="Times New Roman"/>
          <w:sz w:val="24"/>
          <w:szCs w:val="24"/>
          <w:lang w:val="en-US"/>
        </w:rPr>
        <w:t>i</w:t>
      </w:r>
      <w:r w:rsidR="00096C0D">
        <w:rPr>
          <w:rFonts w:ascii="Times New Roman" w:hAnsi="Times New Roman" w:cs="Times New Roman"/>
          <w:sz w:val="24"/>
          <w:szCs w:val="24"/>
          <w:lang w:val="en-US"/>
        </w:rPr>
        <w:t xml:space="preserve">nvestment on </w:t>
      </w:r>
      <w:r w:rsidR="00111AA6">
        <w:rPr>
          <w:rFonts w:ascii="Times New Roman" w:hAnsi="Times New Roman" w:cs="Times New Roman"/>
          <w:sz w:val="24"/>
          <w:szCs w:val="24"/>
          <w:lang w:val="en-US"/>
        </w:rPr>
        <w:t>e</w:t>
      </w:r>
      <w:r w:rsidR="00096C0D">
        <w:rPr>
          <w:rFonts w:ascii="Times New Roman" w:hAnsi="Times New Roman" w:cs="Times New Roman"/>
          <w:sz w:val="24"/>
          <w:szCs w:val="24"/>
          <w:lang w:val="en-US"/>
        </w:rPr>
        <w:t xml:space="preserve">conomy and </w:t>
      </w:r>
      <w:r w:rsidR="00111AA6">
        <w:rPr>
          <w:rFonts w:ascii="Times New Roman" w:hAnsi="Times New Roman" w:cs="Times New Roman"/>
          <w:sz w:val="24"/>
          <w:szCs w:val="24"/>
          <w:lang w:val="en-US"/>
        </w:rPr>
        <w:t>s</w:t>
      </w:r>
      <w:r w:rsidR="00096C0D">
        <w:rPr>
          <w:rFonts w:ascii="Times New Roman" w:hAnsi="Times New Roman" w:cs="Times New Roman"/>
          <w:sz w:val="24"/>
          <w:szCs w:val="24"/>
          <w:lang w:val="en-US"/>
        </w:rPr>
        <w:t>ociety’,</w:t>
      </w:r>
      <w:r w:rsidR="00111AA6">
        <w:rPr>
          <w:rFonts w:ascii="Times New Roman" w:hAnsi="Times New Roman" w:cs="Times New Roman"/>
          <w:sz w:val="24"/>
          <w:szCs w:val="24"/>
          <w:lang w:val="en-US"/>
        </w:rPr>
        <w:t xml:space="preserve"> </w:t>
      </w:r>
      <w:r w:rsidR="00A02DF9">
        <w:rPr>
          <w:rFonts w:ascii="Times New Roman" w:hAnsi="Times New Roman" w:cs="Times New Roman"/>
          <w:sz w:val="24"/>
          <w:szCs w:val="24"/>
          <w:lang w:val="en-US"/>
        </w:rPr>
        <w:t>Yogyakarta, 12 August 2016.</w:t>
      </w:r>
      <w:r w:rsidR="00096C0D">
        <w:rPr>
          <w:rStyle w:val="FootnoteReference"/>
          <w:rFonts w:ascii="Times New Roman" w:hAnsi="Times New Roman" w:cs="Times New Roman"/>
          <w:sz w:val="24"/>
          <w:szCs w:val="24"/>
          <w:lang w:val="en-US"/>
        </w:rPr>
        <w:footnoteReference w:id="1"/>
      </w:r>
      <w:r w:rsidR="00A02DF9">
        <w:rPr>
          <w:rFonts w:ascii="Times New Roman" w:hAnsi="Times New Roman" w:cs="Times New Roman"/>
          <w:sz w:val="24"/>
          <w:szCs w:val="24"/>
          <w:lang w:val="en-US"/>
        </w:rPr>
        <w:t xml:space="preserve"> </w:t>
      </w:r>
    </w:p>
    <w:p w:rsidR="00A02DF9" w:rsidRDefault="00A02DF9" w:rsidP="001B56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Please do not quote without permission. Author’s address: </w:t>
      </w:r>
      <w:hyperlink r:id="rId8" w:history="1">
        <w:r w:rsidRPr="00984933">
          <w:rPr>
            <w:rStyle w:val="Hyperlink"/>
            <w:rFonts w:ascii="Times New Roman" w:hAnsi="Times New Roman" w:cs="Times New Roman"/>
            <w:sz w:val="24"/>
            <w:szCs w:val="24"/>
            <w:lang w:val="en-US"/>
          </w:rPr>
          <w:t>thomaslindblad@hotmail.com</w:t>
        </w:r>
      </w:hyperlink>
      <w:r>
        <w:rPr>
          <w:rFonts w:ascii="Times New Roman" w:hAnsi="Times New Roman" w:cs="Times New Roman"/>
          <w:sz w:val="24"/>
          <w:szCs w:val="24"/>
          <w:lang w:val="en-US"/>
        </w:rPr>
        <w:t>.</w:t>
      </w:r>
    </w:p>
    <w:p w:rsidR="00A02DF9" w:rsidRDefault="00A02DF9" w:rsidP="00A02DF9">
      <w:pPr>
        <w:jc w:val="both"/>
        <w:rPr>
          <w:rFonts w:ascii="Times New Roman" w:hAnsi="Times New Roman" w:cs="Times New Roman"/>
          <w:sz w:val="24"/>
          <w:szCs w:val="24"/>
          <w:lang w:val="en-US"/>
        </w:rPr>
      </w:pPr>
    </w:p>
    <w:p w:rsidR="00D34692" w:rsidRDefault="00D34692" w:rsidP="00A02DF9">
      <w:pPr>
        <w:jc w:val="both"/>
        <w:rPr>
          <w:rFonts w:ascii="Times New Roman" w:hAnsi="Times New Roman" w:cs="Times New Roman"/>
          <w:sz w:val="24"/>
          <w:szCs w:val="24"/>
          <w:lang w:val="en-US"/>
        </w:rPr>
      </w:pPr>
    </w:p>
    <w:p w:rsidR="00A02DF9" w:rsidRDefault="00A02DF9" w:rsidP="00A02DF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34692" w:rsidRPr="00D34692" w:rsidRDefault="00D34692" w:rsidP="00D34692">
      <w:pPr>
        <w:spacing w:line="360" w:lineRule="auto"/>
        <w:jc w:val="both"/>
        <w:rPr>
          <w:rFonts w:ascii="Times New Roman" w:hAnsi="Times New Roman" w:cs="Times New Roman"/>
          <w:b/>
          <w:sz w:val="24"/>
          <w:szCs w:val="24"/>
          <w:lang w:val="en-US"/>
        </w:rPr>
      </w:pPr>
      <w:r w:rsidRPr="00D34692">
        <w:rPr>
          <w:rFonts w:ascii="Times New Roman" w:hAnsi="Times New Roman" w:cs="Times New Roman"/>
          <w:b/>
          <w:sz w:val="24"/>
          <w:szCs w:val="24"/>
          <w:lang w:val="en-US"/>
        </w:rPr>
        <w:t>Introduction</w:t>
      </w:r>
    </w:p>
    <w:p w:rsidR="00D7353E" w:rsidRDefault="001B5671" w:rsidP="00D3469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oft heard allegation against foreign private firms operating in colonial Indonesia is that these firms made excessive profits </w:t>
      </w:r>
      <w:r w:rsidR="000C5A43">
        <w:rPr>
          <w:rFonts w:ascii="Times New Roman" w:hAnsi="Times New Roman" w:cs="Times New Roman"/>
          <w:sz w:val="24"/>
          <w:szCs w:val="24"/>
          <w:lang w:val="en-US"/>
        </w:rPr>
        <w:t xml:space="preserve">that only </w:t>
      </w:r>
      <w:r>
        <w:rPr>
          <w:rFonts w:ascii="Times New Roman" w:hAnsi="Times New Roman" w:cs="Times New Roman"/>
          <w:sz w:val="24"/>
          <w:szCs w:val="24"/>
          <w:lang w:val="en-US"/>
        </w:rPr>
        <w:t>benefit</w:t>
      </w:r>
      <w:r w:rsidR="000C5A43">
        <w:rPr>
          <w:rFonts w:ascii="Times New Roman" w:hAnsi="Times New Roman" w:cs="Times New Roman"/>
          <w:sz w:val="24"/>
          <w:szCs w:val="24"/>
          <w:lang w:val="en-US"/>
        </w:rPr>
        <w:t xml:space="preserve">ed </w:t>
      </w:r>
      <w:r>
        <w:rPr>
          <w:rFonts w:ascii="Times New Roman" w:hAnsi="Times New Roman" w:cs="Times New Roman"/>
          <w:sz w:val="24"/>
          <w:szCs w:val="24"/>
          <w:lang w:val="en-US"/>
        </w:rPr>
        <w:t xml:space="preserve">overseas shareholders </w:t>
      </w:r>
      <w:r w:rsidR="000C5A43">
        <w:rPr>
          <w:rFonts w:ascii="Times New Roman" w:hAnsi="Times New Roman" w:cs="Times New Roman"/>
          <w:sz w:val="24"/>
          <w:szCs w:val="24"/>
          <w:lang w:val="en-US"/>
        </w:rPr>
        <w:t xml:space="preserve">whilst failing to contribute in any substantial way to </w:t>
      </w:r>
      <w:r>
        <w:rPr>
          <w:rFonts w:ascii="Times New Roman" w:hAnsi="Times New Roman" w:cs="Times New Roman"/>
          <w:sz w:val="24"/>
          <w:szCs w:val="24"/>
          <w:lang w:val="en-US"/>
        </w:rPr>
        <w:t xml:space="preserve">economy and society </w:t>
      </w:r>
      <w:r w:rsidR="000C5A43">
        <w:rPr>
          <w:rFonts w:ascii="Times New Roman" w:hAnsi="Times New Roman" w:cs="Times New Roman"/>
          <w:sz w:val="24"/>
          <w:szCs w:val="24"/>
          <w:lang w:val="en-US"/>
        </w:rPr>
        <w:t>in</w:t>
      </w:r>
      <w:r>
        <w:rPr>
          <w:rFonts w:ascii="Times New Roman" w:hAnsi="Times New Roman" w:cs="Times New Roman"/>
          <w:sz w:val="24"/>
          <w:szCs w:val="24"/>
          <w:lang w:val="en-US"/>
        </w:rPr>
        <w:t xml:space="preserve"> the colony.</w:t>
      </w:r>
      <w:r w:rsidR="000C5A43">
        <w:rPr>
          <w:rFonts w:ascii="Times New Roman" w:hAnsi="Times New Roman" w:cs="Times New Roman"/>
          <w:sz w:val="24"/>
          <w:szCs w:val="24"/>
          <w:lang w:val="en-US"/>
        </w:rPr>
        <w:t xml:space="preserve"> A common counterargument maintains that profits pocketed by foreign firms represented an adequate compensation for the capital invested and the management and technology made accessible to operations in the colonial setting. There is little doubt that foreign companies did make a profit from their activities in colonial Indonesia; if not, such investment commitments would have been </w:t>
      </w:r>
      <w:r w:rsidR="00C12F5C">
        <w:rPr>
          <w:rFonts w:ascii="Times New Roman" w:hAnsi="Times New Roman" w:cs="Times New Roman"/>
          <w:sz w:val="24"/>
          <w:szCs w:val="24"/>
          <w:lang w:val="en-US"/>
        </w:rPr>
        <w:t>discontinued in due course. The issue is rather whether the profits made were excessive or not. This catapults the matter into an empirical, and on occasion rather technical examination of the available evidence. How do we properly measure the profitability of foreign investment in the colonial setting? Against what yardsticks are estimated rates of return to be assessed?</w:t>
      </w:r>
    </w:p>
    <w:p w:rsidR="00D7353E" w:rsidRDefault="00D7353E" w:rsidP="00D7353E">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contribution </w:t>
      </w:r>
      <w:r w:rsidR="00D34692">
        <w:rPr>
          <w:rFonts w:ascii="Times New Roman" w:hAnsi="Times New Roman" w:cs="Times New Roman"/>
          <w:sz w:val="24"/>
          <w:szCs w:val="24"/>
          <w:lang w:val="en-US"/>
        </w:rPr>
        <w:t xml:space="preserve">first </w:t>
      </w:r>
      <w:r>
        <w:rPr>
          <w:rFonts w:ascii="Times New Roman" w:hAnsi="Times New Roman" w:cs="Times New Roman"/>
          <w:sz w:val="24"/>
          <w:szCs w:val="24"/>
          <w:lang w:val="en-US"/>
        </w:rPr>
        <w:t xml:space="preserve">reviews </w:t>
      </w:r>
      <w:r w:rsidR="00C12F5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historiography and methodology concerning </w:t>
      </w:r>
      <w:r w:rsidR="00C12F5C">
        <w:rPr>
          <w:rFonts w:ascii="Times New Roman" w:hAnsi="Times New Roman" w:cs="Times New Roman"/>
          <w:sz w:val="24"/>
          <w:szCs w:val="24"/>
          <w:lang w:val="en-US"/>
        </w:rPr>
        <w:t xml:space="preserve">the profitability of </w:t>
      </w:r>
      <w:r>
        <w:rPr>
          <w:rFonts w:ascii="Times New Roman" w:hAnsi="Times New Roman" w:cs="Times New Roman"/>
          <w:sz w:val="24"/>
          <w:szCs w:val="24"/>
          <w:lang w:val="en-US"/>
        </w:rPr>
        <w:t xml:space="preserve">private </w:t>
      </w:r>
      <w:r w:rsidR="00C12F5C">
        <w:rPr>
          <w:rFonts w:ascii="Times New Roman" w:hAnsi="Times New Roman" w:cs="Times New Roman"/>
          <w:sz w:val="24"/>
          <w:szCs w:val="24"/>
          <w:lang w:val="en-US"/>
        </w:rPr>
        <w:t>Dutch</w:t>
      </w:r>
      <w:r>
        <w:rPr>
          <w:rFonts w:ascii="Times New Roman" w:hAnsi="Times New Roman" w:cs="Times New Roman"/>
          <w:sz w:val="24"/>
          <w:szCs w:val="24"/>
          <w:lang w:val="en-US"/>
        </w:rPr>
        <w:t xml:space="preserve"> investment in </w:t>
      </w:r>
      <w:r w:rsidR="00C12F5C">
        <w:rPr>
          <w:rFonts w:ascii="Times New Roman" w:hAnsi="Times New Roman" w:cs="Times New Roman"/>
          <w:sz w:val="24"/>
          <w:szCs w:val="24"/>
          <w:lang w:val="en-US"/>
        </w:rPr>
        <w:t xml:space="preserve">Indonesia during the late-colonial period, here </w:t>
      </w:r>
      <w:r>
        <w:rPr>
          <w:rFonts w:ascii="Times New Roman" w:hAnsi="Times New Roman" w:cs="Times New Roman"/>
          <w:sz w:val="24"/>
          <w:szCs w:val="24"/>
          <w:lang w:val="en-US"/>
        </w:rPr>
        <w:t xml:space="preserve">defined as extending </w:t>
      </w:r>
      <w:r w:rsidR="00C12F5C">
        <w:rPr>
          <w:rFonts w:ascii="Times New Roman" w:hAnsi="Times New Roman" w:cs="Times New Roman"/>
          <w:sz w:val="24"/>
          <w:szCs w:val="24"/>
          <w:lang w:val="en-US"/>
        </w:rPr>
        <w:t>from the early twentieth century up to the end of effective Dutch colonial control over the entire archipelago in 1942.</w:t>
      </w:r>
      <w:r>
        <w:rPr>
          <w:rFonts w:ascii="Times New Roman" w:hAnsi="Times New Roman" w:cs="Times New Roman"/>
          <w:sz w:val="24"/>
          <w:szCs w:val="24"/>
          <w:lang w:val="en-US"/>
        </w:rPr>
        <w:t xml:space="preserve"> </w:t>
      </w:r>
      <w:r w:rsidR="00D34692">
        <w:rPr>
          <w:rFonts w:ascii="Times New Roman" w:hAnsi="Times New Roman" w:cs="Times New Roman"/>
          <w:sz w:val="24"/>
          <w:szCs w:val="24"/>
          <w:lang w:val="en-US"/>
        </w:rPr>
        <w:t xml:space="preserve">Subsequently, the paper </w:t>
      </w:r>
      <w:r>
        <w:rPr>
          <w:rFonts w:ascii="Times New Roman" w:hAnsi="Times New Roman" w:cs="Times New Roman"/>
          <w:sz w:val="24"/>
          <w:szCs w:val="24"/>
          <w:lang w:val="en-US"/>
        </w:rPr>
        <w:t xml:space="preserve">presents </w:t>
      </w:r>
      <w:r w:rsidR="00D34692">
        <w:rPr>
          <w:rFonts w:ascii="Times New Roman" w:hAnsi="Times New Roman" w:cs="Times New Roman"/>
          <w:sz w:val="24"/>
          <w:szCs w:val="24"/>
          <w:lang w:val="en-US"/>
        </w:rPr>
        <w:t xml:space="preserve">the </w:t>
      </w:r>
      <w:r>
        <w:rPr>
          <w:rFonts w:ascii="Times New Roman" w:hAnsi="Times New Roman" w:cs="Times New Roman"/>
          <w:sz w:val="24"/>
          <w:szCs w:val="24"/>
          <w:lang w:val="en-US"/>
        </w:rPr>
        <w:t>new</w:t>
      </w:r>
      <w:r w:rsidR="00D34692">
        <w:rPr>
          <w:rFonts w:ascii="Times New Roman" w:hAnsi="Times New Roman" w:cs="Times New Roman"/>
          <w:sz w:val="24"/>
          <w:szCs w:val="24"/>
          <w:lang w:val="en-US"/>
        </w:rPr>
        <w:t>est</w:t>
      </w:r>
      <w:r>
        <w:rPr>
          <w:rFonts w:ascii="Times New Roman" w:hAnsi="Times New Roman" w:cs="Times New Roman"/>
          <w:sz w:val="24"/>
          <w:szCs w:val="24"/>
          <w:lang w:val="en-US"/>
        </w:rPr>
        <w:t xml:space="preserve"> estimates</w:t>
      </w:r>
      <w:r w:rsidR="00D34692">
        <w:rPr>
          <w:rFonts w:ascii="Times New Roman" w:hAnsi="Times New Roman" w:cs="Times New Roman"/>
          <w:sz w:val="24"/>
          <w:szCs w:val="24"/>
          <w:lang w:val="en-US"/>
        </w:rPr>
        <w:t xml:space="preserve"> and briefly discusses how to interpret these outcomes</w:t>
      </w:r>
      <w:r>
        <w:rPr>
          <w:rFonts w:ascii="Times New Roman" w:hAnsi="Times New Roman" w:cs="Times New Roman"/>
          <w:sz w:val="24"/>
          <w:szCs w:val="24"/>
          <w:lang w:val="en-US"/>
        </w:rPr>
        <w:t>.</w:t>
      </w:r>
    </w:p>
    <w:p w:rsidR="007B7214" w:rsidRDefault="007B7214" w:rsidP="00D7353E">
      <w:pPr>
        <w:spacing w:line="360" w:lineRule="auto"/>
        <w:jc w:val="both"/>
        <w:rPr>
          <w:rFonts w:ascii="Times New Roman" w:hAnsi="Times New Roman" w:cs="Times New Roman"/>
          <w:i/>
          <w:sz w:val="24"/>
          <w:szCs w:val="24"/>
          <w:lang w:val="en-US"/>
        </w:rPr>
      </w:pPr>
    </w:p>
    <w:p w:rsidR="00D7353E" w:rsidRPr="007B7214" w:rsidRDefault="00D7353E" w:rsidP="00D7353E">
      <w:pPr>
        <w:spacing w:line="360" w:lineRule="auto"/>
        <w:jc w:val="both"/>
        <w:rPr>
          <w:rFonts w:ascii="Times New Roman" w:hAnsi="Times New Roman" w:cs="Times New Roman"/>
          <w:b/>
          <w:sz w:val="24"/>
          <w:szCs w:val="24"/>
          <w:lang w:val="en-US"/>
        </w:rPr>
      </w:pPr>
      <w:r w:rsidRPr="007B7214">
        <w:rPr>
          <w:rFonts w:ascii="Times New Roman" w:hAnsi="Times New Roman" w:cs="Times New Roman"/>
          <w:b/>
          <w:sz w:val="24"/>
          <w:szCs w:val="24"/>
          <w:lang w:val="en-US"/>
        </w:rPr>
        <w:lastRenderedPageBreak/>
        <w:t>Historiography</w:t>
      </w:r>
    </w:p>
    <w:p w:rsidR="00D12D62" w:rsidRDefault="00D7353E" w:rsidP="00D735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discourse on the </w:t>
      </w:r>
      <w:r w:rsidR="00E5705B">
        <w:rPr>
          <w:rFonts w:ascii="Times New Roman" w:hAnsi="Times New Roman" w:cs="Times New Roman"/>
          <w:sz w:val="24"/>
          <w:szCs w:val="24"/>
          <w:lang w:val="en-US"/>
        </w:rPr>
        <w:t>importance for the of the economic interests vested in Indonesia was fuelled by the calculation by the later Nobel Laureate Jan Tinbergen and an associate demonstrating that 14 per cent of Dutch national income</w:t>
      </w:r>
      <w:r w:rsidR="00DE3AEA">
        <w:rPr>
          <w:rFonts w:ascii="Times New Roman" w:hAnsi="Times New Roman" w:cs="Times New Roman"/>
          <w:sz w:val="24"/>
          <w:szCs w:val="24"/>
          <w:lang w:val="en-US"/>
        </w:rPr>
        <w:t xml:space="preserve"> derived, directly or indirectly, from </w:t>
      </w:r>
      <w:r w:rsidR="00E5705B">
        <w:rPr>
          <w:rFonts w:ascii="Times New Roman" w:hAnsi="Times New Roman" w:cs="Times New Roman"/>
          <w:sz w:val="24"/>
          <w:szCs w:val="24"/>
          <w:lang w:val="en-US"/>
        </w:rPr>
        <w:t xml:space="preserve">the colonial possession (Dirksen and Tinbergen 1945). </w:t>
      </w:r>
      <w:r w:rsidR="00DE3AEA">
        <w:rPr>
          <w:rFonts w:ascii="Times New Roman" w:hAnsi="Times New Roman" w:cs="Times New Roman"/>
          <w:sz w:val="24"/>
          <w:szCs w:val="24"/>
          <w:lang w:val="en-US"/>
        </w:rPr>
        <w:t>This publication revived the old battle-cry ‘The Indies lost, calamity born’ (</w:t>
      </w:r>
      <w:proofErr w:type="spellStart"/>
      <w:r w:rsidR="00DE3AEA" w:rsidRPr="00DE3AEA">
        <w:rPr>
          <w:rFonts w:ascii="Times New Roman" w:hAnsi="Times New Roman" w:cs="Times New Roman"/>
          <w:i/>
          <w:sz w:val="24"/>
          <w:szCs w:val="24"/>
          <w:lang w:val="en-US"/>
        </w:rPr>
        <w:t>Indië</w:t>
      </w:r>
      <w:proofErr w:type="spellEnd"/>
      <w:r w:rsidR="00DE3AEA" w:rsidRPr="00DE3AEA">
        <w:rPr>
          <w:rFonts w:ascii="Times New Roman" w:hAnsi="Times New Roman" w:cs="Times New Roman"/>
          <w:i/>
          <w:sz w:val="24"/>
          <w:szCs w:val="24"/>
          <w:lang w:val="en-US"/>
        </w:rPr>
        <w:t xml:space="preserve"> </w:t>
      </w:r>
      <w:proofErr w:type="spellStart"/>
      <w:r w:rsidR="00DE3AEA" w:rsidRPr="00DE3AEA">
        <w:rPr>
          <w:rFonts w:ascii="Times New Roman" w:hAnsi="Times New Roman" w:cs="Times New Roman"/>
          <w:i/>
          <w:sz w:val="24"/>
          <w:szCs w:val="24"/>
          <w:lang w:val="en-US"/>
        </w:rPr>
        <w:t>verloren</w:t>
      </w:r>
      <w:proofErr w:type="spellEnd"/>
      <w:r w:rsidR="00DE3AEA" w:rsidRPr="00DE3AEA">
        <w:rPr>
          <w:rFonts w:ascii="Times New Roman" w:hAnsi="Times New Roman" w:cs="Times New Roman"/>
          <w:i/>
          <w:sz w:val="24"/>
          <w:szCs w:val="24"/>
          <w:lang w:val="en-US"/>
        </w:rPr>
        <w:t xml:space="preserve">, </w:t>
      </w:r>
      <w:proofErr w:type="spellStart"/>
      <w:r w:rsidR="00DE3AEA" w:rsidRPr="00DE3AEA">
        <w:rPr>
          <w:rFonts w:ascii="Times New Roman" w:hAnsi="Times New Roman" w:cs="Times New Roman"/>
          <w:i/>
          <w:sz w:val="24"/>
          <w:szCs w:val="24"/>
          <w:lang w:val="en-US"/>
        </w:rPr>
        <w:t>rampspoed</w:t>
      </w:r>
      <w:proofErr w:type="spellEnd"/>
      <w:r w:rsidR="00DE3AEA" w:rsidRPr="00DE3AEA">
        <w:rPr>
          <w:rFonts w:ascii="Times New Roman" w:hAnsi="Times New Roman" w:cs="Times New Roman"/>
          <w:i/>
          <w:sz w:val="24"/>
          <w:szCs w:val="24"/>
          <w:lang w:val="en-US"/>
        </w:rPr>
        <w:t xml:space="preserve"> </w:t>
      </w:r>
      <w:proofErr w:type="spellStart"/>
      <w:r w:rsidR="00DE3AEA" w:rsidRPr="00DE3AEA">
        <w:rPr>
          <w:rFonts w:ascii="Times New Roman" w:hAnsi="Times New Roman" w:cs="Times New Roman"/>
          <w:i/>
          <w:sz w:val="24"/>
          <w:szCs w:val="24"/>
          <w:lang w:val="en-US"/>
        </w:rPr>
        <w:t>geboren</w:t>
      </w:r>
      <w:proofErr w:type="spellEnd"/>
      <w:r w:rsidR="00DE3AEA">
        <w:rPr>
          <w:rFonts w:ascii="Times New Roman" w:hAnsi="Times New Roman" w:cs="Times New Roman"/>
          <w:sz w:val="24"/>
          <w:szCs w:val="24"/>
          <w:lang w:val="en-US"/>
        </w:rPr>
        <w:t xml:space="preserve">), not long before the military Dutch intervention against the Indonesian Republic in 1947. In the shadow of commotion, </w:t>
      </w:r>
      <w:r w:rsidR="00D12D62">
        <w:rPr>
          <w:rFonts w:ascii="Times New Roman" w:hAnsi="Times New Roman" w:cs="Times New Roman"/>
          <w:sz w:val="24"/>
          <w:szCs w:val="24"/>
          <w:lang w:val="en-US"/>
        </w:rPr>
        <w:t>the economist K.D. Bosch</w:t>
      </w:r>
      <w:r w:rsidR="00DE3AEA">
        <w:rPr>
          <w:rFonts w:ascii="Times New Roman" w:hAnsi="Times New Roman" w:cs="Times New Roman"/>
          <w:sz w:val="24"/>
          <w:szCs w:val="24"/>
          <w:lang w:val="en-US"/>
        </w:rPr>
        <w:t xml:space="preserve"> estimate</w:t>
      </w:r>
      <w:r w:rsidR="00D12D62">
        <w:rPr>
          <w:rFonts w:ascii="Times New Roman" w:hAnsi="Times New Roman" w:cs="Times New Roman"/>
          <w:sz w:val="24"/>
          <w:szCs w:val="24"/>
          <w:lang w:val="en-US"/>
        </w:rPr>
        <w:t>d</w:t>
      </w:r>
      <w:r w:rsidR="00DE3AEA">
        <w:rPr>
          <w:rFonts w:ascii="Times New Roman" w:hAnsi="Times New Roman" w:cs="Times New Roman"/>
          <w:sz w:val="24"/>
          <w:szCs w:val="24"/>
          <w:lang w:val="en-US"/>
        </w:rPr>
        <w:t xml:space="preserve"> </w:t>
      </w:r>
      <w:r w:rsidR="00D12D62">
        <w:rPr>
          <w:rFonts w:ascii="Times New Roman" w:hAnsi="Times New Roman" w:cs="Times New Roman"/>
          <w:sz w:val="24"/>
          <w:szCs w:val="24"/>
          <w:lang w:val="en-US"/>
        </w:rPr>
        <w:t xml:space="preserve">returns pocketed </w:t>
      </w:r>
      <w:r w:rsidR="00DE3AEA">
        <w:rPr>
          <w:rFonts w:ascii="Times New Roman" w:hAnsi="Times New Roman" w:cs="Times New Roman"/>
          <w:sz w:val="24"/>
          <w:szCs w:val="24"/>
          <w:lang w:val="en-US"/>
        </w:rPr>
        <w:t>by 40 Dutch</w:t>
      </w:r>
      <w:r w:rsidR="00D12D62">
        <w:rPr>
          <w:rFonts w:ascii="Times New Roman" w:hAnsi="Times New Roman" w:cs="Times New Roman"/>
          <w:sz w:val="24"/>
          <w:szCs w:val="24"/>
          <w:lang w:val="en-US"/>
        </w:rPr>
        <w:t>-owned colonial companies</w:t>
      </w:r>
      <w:r w:rsidR="00DE3AEA">
        <w:rPr>
          <w:rFonts w:ascii="Times New Roman" w:hAnsi="Times New Roman" w:cs="Times New Roman"/>
          <w:sz w:val="24"/>
          <w:szCs w:val="24"/>
          <w:lang w:val="en-US"/>
        </w:rPr>
        <w:t xml:space="preserve">, </w:t>
      </w:r>
      <w:r w:rsidR="00D12D62">
        <w:rPr>
          <w:rFonts w:ascii="Times New Roman" w:hAnsi="Times New Roman" w:cs="Times New Roman"/>
          <w:sz w:val="24"/>
          <w:szCs w:val="24"/>
          <w:lang w:val="en-US"/>
        </w:rPr>
        <w:t xml:space="preserve">using </w:t>
      </w:r>
      <w:r w:rsidR="00DE3AEA">
        <w:rPr>
          <w:rFonts w:ascii="Times New Roman" w:hAnsi="Times New Roman" w:cs="Times New Roman"/>
          <w:sz w:val="24"/>
          <w:szCs w:val="24"/>
          <w:lang w:val="en-US"/>
        </w:rPr>
        <w:t xml:space="preserve">dividend rates </w:t>
      </w:r>
      <w:r w:rsidR="00D12D62">
        <w:rPr>
          <w:rFonts w:ascii="Times New Roman" w:hAnsi="Times New Roman" w:cs="Times New Roman"/>
          <w:sz w:val="24"/>
          <w:szCs w:val="24"/>
          <w:lang w:val="en-US"/>
        </w:rPr>
        <w:t xml:space="preserve">as </w:t>
      </w:r>
      <w:r w:rsidR="00DE3AEA">
        <w:rPr>
          <w:rFonts w:ascii="Times New Roman" w:hAnsi="Times New Roman" w:cs="Times New Roman"/>
          <w:sz w:val="24"/>
          <w:szCs w:val="24"/>
          <w:lang w:val="en-US"/>
        </w:rPr>
        <w:t xml:space="preserve">cited in a compilation of </w:t>
      </w:r>
      <w:r w:rsidR="00D12D62">
        <w:rPr>
          <w:rFonts w:ascii="Times New Roman" w:hAnsi="Times New Roman" w:cs="Times New Roman"/>
          <w:sz w:val="24"/>
          <w:szCs w:val="24"/>
          <w:lang w:val="en-US"/>
        </w:rPr>
        <w:t xml:space="preserve">publicly </w:t>
      </w:r>
      <w:r w:rsidR="00DE3AEA">
        <w:rPr>
          <w:rFonts w:ascii="Times New Roman" w:hAnsi="Times New Roman" w:cs="Times New Roman"/>
          <w:sz w:val="24"/>
          <w:szCs w:val="24"/>
          <w:lang w:val="en-US"/>
        </w:rPr>
        <w:t xml:space="preserve">listed limited liability companies, the </w:t>
      </w:r>
      <w:r w:rsidR="00DE3AEA" w:rsidRPr="00DE3AEA">
        <w:rPr>
          <w:rFonts w:ascii="Times New Roman" w:hAnsi="Times New Roman" w:cs="Times New Roman"/>
          <w:i/>
          <w:sz w:val="24"/>
          <w:szCs w:val="24"/>
          <w:lang w:val="en-US"/>
        </w:rPr>
        <w:t xml:space="preserve">Van Oss </w:t>
      </w:r>
      <w:proofErr w:type="spellStart"/>
      <w:r w:rsidR="00DE3AEA" w:rsidRPr="00DE3AEA">
        <w:rPr>
          <w:rFonts w:ascii="Times New Roman" w:hAnsi="Times New Roman" w:cs="Times New Roman"/>
          <w:i/>
          <w:sz w:val="24"/>
          <w:szCs w:val="24"/>
          <w:lang w:val="en-US"/>
        </w:rPr>
        <w:t>Effectenboek</w:t>
      </w:r>
      <w:proofErr w:type="spellEnd"/>
      <w:r w:rsidR="00DE3AEA">
        <w:rPr>
          <w:rFonts w:ascii="Times New Roman" w:hAnsi="Times New Roman" w:cs="Times New Roman"/>
          <w:sz w:val="24"/>
          <w:szCs w:val="24"/>
          <w:lang w:val="en-US"/>
        </w:rPr>
        <w:t xml:space="preserve">. Average dividend rates were 18-20 per cent during the 1910s and 1920s but fell to 4 per cent in the 1930s (Bosch 1947: 605, </w:t>
      </w:r>
      <w:r w:rsidR="00D12D62">
        <w:rPr>
          <w:rFonts w:ascii="Times New Roman" w:hAnsi="Times New Roman" w:cs="Times New Roman"/>
          <w:sz w:val="24"/>
          <w:szCs w:val="24"/>
          <w:lang w:val="en-US"/>
        </w:rPr>
        <w:t xml:space="preserve">681-684). </w:t>
      </w:r>
      <w:r w:rsidR="00B2334C">
        <w:rPr>
          <w:rFonts w:ascii="Times New Roman" w:hAnsi="Times New Roman" w:cs="Times New Roman"/>
          <w:sz w:val="24"/>
          <w:szCs w:val="24"/>
          <w:lang w:val="en-US"/>
        </w:rPr>
        <w:t>The</w:t>
      </w:r>
      <w:r w:rsidR="00D12D62">
        <w:rPr>
          <w:rFonts w:ascii="Times New Roman" w:hAnsi="Times New Roman" w:cs="Times New Roman"/>
          <w:sz w:val="24"/>
          <w:szCs w:val="24"/>
          <w:lang w:val="en-US"/>
        </w:rPr>
        <w:t xml:space="preserve"> dividend rate </w:t>
      </w:r>
      <w:r w:rsidR="00B2334C">
        <w:rPr>
          <w:rFonts w:ascii="Times New Roman" w:hAnsi="Times New Roman" w:cs="Times New Roman"/>
          <w:sz w:val="24"/>
          <w:szCs w:val="24"/>
          <w:lang w:val="en-US"/>
        </w:rPr>
        <w:t xml:space="preserve">here </w:t>
      </w:r>
      <w:r w:rsidR="00D12D62">
        <w:rPr>
          <w:rFonts w:ascii="Times New Roman" w:hAnsi="Times New Roman" w:cs="Times New Roman"/>
          <w:sz w:val="24"/>
          <w:szCs w:val="24"/>
          <w:lang w:val="en-US"/>
        </w:rPr>
        <w:t xml:space="preserve">served as a proxy for rate of return or profitability. This approach has since become accepted practice. </w:t>
      </w:r>
    </w:p>
    <w:p w:rsidR="00F8669C" w:rsidRDefault="00D12D62" w:rsidP="00D12D62">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Several years later, the historian </w:t>
      </w:r>
      <w:r w:rsidR="008D5DEA">
        <w:rPr>
          <w:rFonts w:ascii="Times New Roman" w:hAnsi="Times New Roman" w:cs="Times New Roman"/>
          <w:sz w:val="24"/>
          <w:szCs w:val="24"/>
          <w:lang w:val="en-US"/>
        </w:rPr>
        <w:t>J. á</w:t>
      </w:r>
      <w:r>
        <w:rPr>
          <w:rFonts w:ascii="Times New Roman" w:hAnsi="Times New Roman" w:cs="Times New Roman"/>
          <w:sz w:val="24"/>
          <w:szCs w:val="24"/>
          <w:lang w:val="en-US"/>
        </w:rPr>
        <w:t xml:space="preserve"> Campo was one of the first to explore the wealth of information in </w:t>
      </w:r>
      <w:r w:rsidR="008D5DEA">
        <w:rPr>
          <w:rFonts w:ascii="Times New Roman" w:hAnsi="Times New Roman" w:cs="Times New Roman"/>
          <w:sz w:val="24"/>
          <w:szCs w:val="24"/>
          <w:lang w:val="en-US"/>
        </w:rPr>
        <w:t>a</w:t>
      </w:r>
      <w:r>
        <w:rPr>
          <w:rFonts w:ascii="Times New Roman" w:hAnsi="Times New Roman" w:cs="Times New Roman"/>
          <w:sz w:val="24"/>
          <w:szCs w:val="24"/>
          <w:lang w:val="en-US"/>
        </w:rPr>
        <w:t xml:space="preserve"> comprehensive annual directory of firms operating in colonial Indonesia, entitled </w:t>
      </w:r>
      <w:proofErr w:type="spellStart"/>
      <w:r w:rsidRPr="00D12D62">
        <w:rPr>
          <w:rFonts w:ascii="Times New Roman" w:hAnsi="Times New Roman" w:cs="Times New Roman"/>
          <w:i/>
          <w:sz w:val="24"/>
          <w:szCs w:val="24"/>
          <w:lang w:val="en-US"/>
        </w:rPr>
        <w:t>Handboek</w:t>
      </w:r>
      <w:proofErr w:type="spellEnd"/>
      <w:r w:rsidRPr="00D12D62">
        <w:rPr>
          <w:rFonts w:ascii="Times New Roman" w:hAnsi="Times New Roman" w:cs="Times New Roman"/>
          <w:i/>
          <w:sz w:val="24"/>
          <w:szCs w:val="24"/>
          <w:lang w:val="en-US"/>
        </w:rPr>
        <w:t xml:space="preserve"> </w:t>
      </w:r>
      <w:proofErr w:type="spellStart"/>
      <w:r w:rsidRPr="00D12D62">
        <w:rPr>
          <w:rFonts w:ascii="Times New Roman" w:hAnsi="Times New Roman" w:cs="Times New Roman"/>
          <w:i/>
          <w:sz w:val="24"/>
          <w:szCs w:val="24"/>
          <w:lang w:val="en-US"/>
        </w:rPr>
        <w:t>voor</w:t>
      </w:r>
      <w:proofErr w:type="spellEnd"/>
      <w:r w:rsidRPr="00D12D62">
        <w:rPr>
          <w:rFonts w:ascii="Times New Roman" w:hAnsi="Times New Roman" w:cs="Times New Roman"/>
          <w:i/>
          <w:sz w:val="24"/>
          <w:szCs w:val="24"/>
          <w:lang w:val="en-US"/>
        </w:rPr>
        <w:t xml:space="preserve"> </w:t>
      </w:r>
      <w:proofErr w:type="spellStart"/>
      <w:r w:rsidRPr="00D12D62">
        <w:rPr>
          <w:rFonts w:ascii="Times New Roman" w:hAnsi="Times New Roman" w:cs="Times New Roman"/>
          <w:i/>
          <w:sz w:val="24"/>
          <w:szCs w:val="24"/>
          <w:lang w:val="en-US"/>
        </w:rPr>
        <w:t>Cultuur</w:t>
      </w:r>
      <w:proofErr w:type="spellEnd"/>
      <w:r w:rsidRPr="00D12D62">
        <w:rPr>
          <w:rFonts w:ascii="Times New Roman" w:hAnsi="Times New Roman" w:cs="Times New Roman"/>
          <w:i/>
          <w:sz w:val="24"/>
          <w:szCs w:val="24"/>
          <w:lang w:val="en-US"/>
        </w:rPr>
        <w:t xml:space="preserve">- en </w:t>
      </w:r>
      <w:proofErr w:type="spellStart"/>
      <w:r w:rsidRPr="00D12D62">
        <w:rPr>
          <w:rFonts w:ascii="Times New Roman" w:hAnsi="Times New Roman" w:cs="Times New Roman"/>
          <w:i/>
          <w:sz w:val="24"/>
          <w:szCs w:val="24"/>
          <w:lang w:val="en-US"/>
        </w:rPr>
        <w:t>Handelsondernemingen</w:t>
      </w:r>
      <w:proofErr w:type="spellEnd"/>
      <w:r w:rsidRPr="00D12D62">
        <w:rPr>
          <w:rFonts w:ascii="Times New Roman" w:hAnsi="Times New Roman" w:cs="Times New Roman"/>
          <w:i/>
          <w:sz w:val="24"/>
          <w:szCs w:val="24"/>
          <w:lang w:val="en-US"/>
        </w:rPr>
        <w:t xml:space="preserve"> in </w:t>
      </w:r>
      <w:proofErr w:type="spellStart"/>
      <w:r w:rsidRPr="00D12D62">
        <w:rPr>
          <w:rFonts w:ascii="Times New Roman" w:hAnsi="Times New Roman" w:cs="Times New Roman"/>
          <w:i/>
          <w:sz w:val="24"/>
          <w:szCs w:val="24"/>
          <w:lang w:val="en-US"/>
        </w:rPr>
        <w:t>Nederlandsch-Indië</w:t>
      </w:r>
      <w:proofErr w:type="spellEnd"/>
      <w:r>
        <w:rPr>
          <w:rFonts w:ascii="Times New Roman" w:hAnsi="Times New Roman" w:cs="Times New Roman"/>
          <w:sz w:val="24"/>
          <w:szCs w:val="24"/>
          <w:lang w:val="en-US"/>
        </w:rPr>
        <w:t>.</w:t>
      </w:r>
      <w:r w:rsidR="008D5DEA">
        <w:rPr>
          <w:rFonts w:ascii="Times New Roman" w:hAnsi="Times New Roman" w:cs="Times New Roman"/>
          <w:sz w:val="24"/>
          <w:szCs w:val="24"/>
          <w:lang w:val="en-US"/>
        </w:rPr>
        <w:t xml:space="preserve"> He saw average dividend rates </w:t>
      </w:r>
      <w:r w:rsidR="00F8669C">
        <w:rPr>
          <w:rFonts w:ascii="Times New Roman" w:hAnsi="Times New Roman" w:cs="Times New Roman"/>
          <w:sz w:val="24"/>
          <w:szCs w:val="24"/>
          <w:lang w:val="en-US"/>
        </w:rPr>
        <w:t xml:space="preserve">in the range of </w:t>
      </w:r>
      <w:r w:rsidR="008D5DEA">
        <w:rPr>
          <w:rFonts w:ascii="Times New Roman" w:hAnsi="Times New Roman" w:cs="Times New Roman"/>
          <w:sz w:val="24"/>
          <w:szCs w:val="24"/>
          <w:lang w:val="en-US"/>
        </w:rPr>
        <w:t>5-7 per cent</w:t>
      </w:r>
      <w:r w:rsidR="00F8669C">
        <w:rPr>
          <w:rFonts w:ascii="Times New Roman" w:hAnsi="Times New Roman" w:cs="Times New Roman"/>
          <w:sz w:val="24"/>
          <w:szCs w:val="24"/>
          <w:lang w:val="en-US"/>
        </w:rPr>
        <w:t xml:space="preserve"> at the turn of the century</w:t>
      </w:r>
      <w:r w:rsidR="008D5DEA">
        <w:rPr>
          <w:rFonts w:ascii="Times New Roman" w:hAnsi="Times New Roman" w:cs="Times New Roman"/>
          <w:sz w:val="24"/>
          <w:szCs w:val="24"/>
          <w:lang w:val="en-US"/>
        </w:rPr>
        <w:t xml:space="preserve">, </w:t>
      </w:r>
      <w:r w:rsidR="00F8669C">
        <w:rPr>
          <w:rFonts w:ascii="Times New Roman" w:hAnsi="Times New Roman" w:cs="Times New Roman"/>
          <w:sz w:val="24"/>
          <w:szCs w:val="24"/>
          <w:lang w:val="en-US"/>
        </w:rPr>
        <w:t xml:space="preserve">which was </w:t>
      </w:r>
      <w:r w:rsidR="008D5DEA">
        <w:rPr>
          <w:rFonts w:ascii="Times New Roman" w:hAnsi="Times New Roman" w:cs="Times New Roman"/>
          <w:sz w:val="24"/>
          <w:szCs w:val="24"/>
          <w:lang w:val="en-US"/>
        </w:rPr>
        <w:t>roughly the same as with investment in the Netherlands</w:t>
      </w:r>
      <w:r w:rsidR="00F8669C">
        <w:rPr>
          <w:rFonts w:ascii="Times New Roman" w:hAnsi="Times New Roman" w:cs="Times New Roman"/>
          <w:sz w:val="24"/>
          <w:szCs w:val="24"/>
          <w:lang w:val="en-US"/>
        </w:rPr>
        <w:t>. Rates then</w:t>
      </w:r>
      <w:r w:rsidR="008D5DEA">
        <w:rPr>
          <w:rFonts w:ascii="Times New Roman" w:hAnsi="Times New Roman" w:cs="Times New Roman"/>
          <w:sz w:val="24"/>
          <w:szCs w:val="24"/>
          <w:lang w:val="en-US"/>
        </w:rPr>
        <w:t xml:space="preserve"> climbing above 10 per cent </w:t>
      </w:r>
      <w:r w:rsidR="00F8669C">
        <w:rPr>
          <w:rFonts w:ascii="Times New Roman" w:hAnsi="Times New Roman" w:cs="Times New Roman"/>
          <w:sz w:val="24"/>
          <w:szCs w:val="24"/>
          <w:lang w:val="en-US"/>
        </w:rPr>
        <w:t>over</w:t>
      </w:r>
      <w:r w:rsidR="008D5DEA">
        <w:rPr>
          <w:rFonts w:ascii="Times New Roman" w:hAnsi="Times New Roman" w:cs="Times New Roman"/>
          <w:sz w:val="24"/>
          <w:szCs w:val="24"/>
          <w:lang w:val="en-US"/>
        </w:rPr>
        <w:t xml:space="preserve"> the years 1905-1913.</w:t>
      </w:r>
      <w:r w:rsidR="00F8669C">
        <w:rPr>
          <w:rFonts w:ascii="Times New Roman" w:hAnsi="Times New Roman" w:cs="Times New Roman"/>
          <w:sz w:val="24"/>
          <w:szCs w:val="24"/>
          <w:lang w:val="en-US"/>
        </w:rPr>
        <w:t xml:space="preserve"> Agricultural firms followed the general trend, whereas trading firms paid out far less on the capital invested.</w:t>
      </w:r>
      <w:r w:rsidR="008D5DEA">
        <w:rPr>
          <w:rFonts w:ascii="Times New Roman" w:hAnsi="Times New Roman" w:cs="Times New Roman"/>
          <w:sz w:val="24"/>
          <w:szCs w:val="24"/>
          <w:lang w:val="en-US"/>
        </w:rPr>
        <w:t xml:space="preserve"> </w:t>
      </w:r>
      <w:r w:rsidR="00F8669C">
        <w:rPr>
          <w:rFonts w:ascii="Times New Roman" w:hAnsi="Times New Roman" w:cs="Times New Roman"/>
          <w:sz w:val="24"/>
          <w:szCs w:val="24"/>
          <w:lang w:val="en-US"/>
        </w:rPr>
        <w:t xml:space="preserve">The </w:t>
      </w:r>
      <w:r w:rsidR="008D5DEA">
        <w:rPr>
          <w:rFonts w:ascii="Times New Roman" w:hAnsi="Times New Roman" w:cs="Times New Roman"/>
          <w:sz w:val="24"/>
          <w:szCs w:val="24"/>
          <w:lang w:val="en-US"/>
        </w:rPr>
        <w:t xml:space="preserve">sample </w:t>
      </w:r>
      <w:r w:rsidR="00F8669C">
        <w:rPr>
          <w:rFonts w:ascii="Times New Roman" w:hAnsi="Times New Roman" w:cs="Times New Roman"/>
          <w:sz w:val="24"/>
          <w:szCs w:val="24"/>
          <w:lang w:val="en-US"/>
        </w:rPr>
        <w:t xml:space="preserve">gathered by A Campo </w:t>
      </w:r>
      <w:r w:rsidR="008D5DEA">
        <w:rPr>
          <w:rFonts w:ascii="Times New Roman" w:hAnsi="Times New Roman" w:cs="Times New Roman"/>
          <w:sz w:val="24"/>
          <w:szCs w:val="24"/>
          <w:lang w:val="en-US"/>
        </w:rPr>
        <w:t xml:space="preserve">eventually comprised 380 individual companies. Regrettably, his exploration of this source </w:t>
      </w:r>
      <w:r w:rsidR="00F8669C">
        <w:rPr>
          <w:rFonts w:ascii="Times New Roman" w:hAnsi="Times New Roman" w:cs="Times New Roman"/>
          <w:sz w:val="24"/>
          <w:szCs w:val="24"/>
          <w:lang w:val="en-US"/>
        </w:rPr>
        <w:t>did not go beyond 1913</w:t>
      </w:r>
      <w:r w:rsidR="008D5DEA">
        <w:rPr>
          <w:rFonts w:ascii="Times New Roman" w:hAnsi="Times New Roman" w:cs="Times New Roman"/>
          <w:sz w:val="24"/>
          <w:szCs w:val="24"/>
          <w:lang w:val="en-US"/>
        </w:rPr>
        <w:t xml:space="preserve"> (A Campo 1996: 87-88).</w:t>
      </w:r>
    </w:p>
    <w:p w:rsidR="00F8669C" w:rsidRPr="00F8669C" w:rsidRDefault="00BD71D0" w:rsidP="00D12D62">
      <w:pPr>
        <w:spacing w:line="36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US"/>
        </w:rPr>
        <w:t>Additional</w:t>
      </w:r>
      <w:r w:rsidR="00F8669C">
        <w:rPr>
          <w:rFonts w:ascii="Times New Roman" w:hAnsi="Times New Roman" w:cs="Times New Roman"/>
          <w:sz w:val="24"/>
          <w:szCs w:val="24"/>
          <w:lang w:val="en-US"/>
        </w:rPr>
        <w:t xml:space="preserve"> exploration of the </w:t>
      </w:r>
      <w:proofErr w:type="spellStart"/>
      <w:r w:rsidR="00F8669C" w:rsidRPr="00F8669C">
        <w:rPr>
          <w:rFonts w:ascii="Times New Roman" w:hAnsi="Times New Roman" w:cs="Times New Roman"/>
          <w:i/>
          <w:sz w:val="24"/>
          <w:szCs w:val="24"/>
          <w:lang w:val="en-US"/>
        </w:rPr>
        <w:t>Handboek</w:t>
      </w:r>
      <w:proofErr w:type="spellEnd"/>
      <w:r w:rsidR="00F8669C">
        <w:rPr>
          <w:rFonts w:ascii="Times New Roman" w:hAnsi="Times New Roman" w:cs="Times New Roman"/>
          <w:sz w:val="24"/>
          <w:szCs w:val="24"/>
          <w:lang w:val="en-US"/>
        </w:rPr>
        <w:t xml:space="preserve"> source was done by myself, aided by diligent students of economic history at Leiden University. In 1930, as many as 670 firms in colonial Indonesia reported non-zero dividends. The average rate amounted to 11 per cent, which compared </w:t>
      </w:r>
      <w:r w:rsidR="00F8669C">
        <w:rPr>
          <w:rFonts w:ascii="Times New Roman" w:hAnsi="Times New Roman" w:cs="Times New Roman"/>
          <w:sz w:val="24"/>
          <w:szCs w:val="24"/>
          <w:lang w:val="en-GB"/>
        </w:rPr>
        <w:t xml:space="preserve">favourably with the standard 6 per cent generally expected by owners of stocks in the Netherlands. </w:t>
      </w:r>
      <w:r w:rsidR="00D42C7D">
        <w:rPr>
          <w:rFonts w:ascii="Times New Roman" w:hAnsi="Times New Roman" w:cs="Times New Roman"/>
          <w:sz w:val="24"/>
          <w:szCs w:val="24"/>
          <w:lang w:val="en-GB"/>
        </w:rPr>
        <w:t xml:space="preserve">Firms with headquarters in the Netherlands paid out 12.4 per cent on average, twice as much as firms whose headquarters were located in colonial Indonesia. Total pay-out in 1930 neared 400 million guilders, corresponding to </w:t>
      </w:r>
      <w:r>
        <w:rPr>
          <w:rFonts w:ascii="Times New Roman" w:hAnsi="Times New Roman" w:cs="Times New Roman"/>
          <w:sz w:val="24"/>
          <w:szCs w:val="24"/>
          <w:lang w:val="en-GB"/>
        </w:rPr>
        <w:t xml:space="preserve">about 12 per </w:t>
      </w:r>
      <w:proofErr w:type="spellStart"/>
      <w:r>
        <w:rPr>
          <w:rFonts w:ascii="Times New Roman" w:hAnsi="Times New Roman" w:cs="Times New Roman"/>
          <w:sz w:val="24"/>
          <w:szCs w:val="24"/>
          <w:lang w:val="en-GB"/>
        </w:rPr>
        <w:t>nt</w:t>
      </w:r>
      <w:proofErr w:type="spellEnd"/>
      <w:r>
        <w:rPr>
          <w:rFonts w:ascii="Times New Roman" w:hAnsi="Times New Roman" w:cs="Times New Roman"/>
          <w:sz w:val="24"/>
          <w:szCs w:val="24"/>
          <w:lang w:val="en-GB"/>
        </w:rPr>
        <w:t xml:space="preserve"> of total accumulated equity of Dutch firms in the colony (</w:t>
      </w:r>
      <w:proofErr w:type="spellStart"/>
      <w:r>
        <w:rPr>
          <w:rFonts w:ascii="Times New Roman" w:hAnsi="Times New Roman" w:cs="Times New Roman"/>
          <w:sz w:val="24"/>
          <w:szCs w:val="24"/>
          <w:lang w:val="en-GB"/>
        </w:rPr>
        <w:t>Lindblad</w:t>
      </w:r>
      <w:proofErr w:type="spellEnd"/>
      <w:r>
        <w:rPr>
          <w:rFonts w:ascii="Times New Roman" w:hAnsi="Times New Roman" w:cs="Times New Roman"/>
          <w:sz w:val="24"/>
          <w:szCs w:val="24"/>
          <w:lang w:val="en-GB"/>
        </w:rPr>
        <w:t xml:space="preserve"> 1998: 78, 80).  </w:t>
      </w:r>
    </w:p>
    <w:p w:rsidR="00111AA6" w:rsidRDefault="008D5DEA" w:rsidP="00D12D62">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D71D0">
        <w:rPr>
          <w:rFonts w:ascii="Times New Roman" w:hAnsi="Times New Roman" w:cs="Times New Roman"/>
          <w:sz w:val="24"/>
          <w:szCs w:val="24"/>
          <w:lang w:val="en-US"/>
        </w:rPr>
        <w:t xml:space="preserve">More recent processing of the </w:t>
      </w:r>
      <w:proofErr w:type="spellStart"/>
      <w:r w:rsidR="00BD71D0" w:rsidRPr="00BD71D0">
        <w:rPr>
          <w:rFonts w:ascii="Times New Roman" w:hAnsi="Times New Roman" w:cs="Times New Roman"/>
          <w:i/>
          <w:sz w:val="24"/>
          <w:szCs w:val="24"/>
          <w:lang w:val="en-US"/>
        </w:rPr>
        <w:t>Handboek</w:t>
      </w:r>
      <w:proofErr w:type="spellEnd"/>
      <w:r w:rsidR="00BD71D0">
        <w:rPr>
          <w:rFonts w:ascii="Times New Roman" w:hAnsi="Times New Roman" w:cs="Times New Roman"/>
          <w:sz w:val="24"/>
          <w:szCs w:val="24"/>
          <w:lang w:val="en-US"/>
        </w:rPr>
        <w:t xml:space="preserve"> source </w:t>
      </w:r>
      <w:r w:rsidR="00111AA6">
        <w:rPr>
          <w:rFonts w:ascii="Times New Roman" w:hAnsi="Times New Roman" w:cs="Times New Roman"/>
          <w:sz w:val="24"/>
          <w:szCs w:val="24"/>
          <w:lang w:val="en-US"/>
        </w:rPr>
        <w:t xml:space="preserve">have </w:t>
      </w:r>
      <w:r w:rsidR="00BD71D0">
        <w:rPr>
          <w:rFonts w:ascii="Times New Roman" w:hAnsi="Times New Roman" w:cs="Times New Roman"/>
          <w:sz w:val="24"/>
          <w:szCs w:val="24"/>
          <w:lang w:val="en-US"/>
        </w:rPr>
        <w:t>generated improved estimates of rates of return, as reflected by dividends, for colonial Indonesia during the 1920s.</w:t>
      </w:r>
      <w:r w:rsidR="00111AA6">
        <w:rPr>
          <w:rFonts w:ascii="Times New Roman" w:hAnsi="Times New Roman" w:cs="Times New Roman"/>
          <w:sz w:val="24"/>
          <w:szCs w:val="24"/>
          <w:lang w:val="en-US"/>
        </w:rPr>
        <w:t xml:space="preserve"> Overall average rates were high at 21 per cent in both 1920 and 1925, but considerably lower at 12 per cent by 1930. Trading firms and other commercial services reported especially high dividend rates for 1920, but not for 1925 or 1930. Agricultural companies, however, paid out high, 25 per cent on average, in 1925, but much less in 1920 </w:t>
      </w:r>
      <w:r w:rsidR="00111AA6">
        <w:rPr>
          <w:rFonts w:ascii="Times New Roman" w:hAnsi="Times New Roman" w:cs="Times New Roman"/>
          <w:sz w:val="24"/>
          <w:szCs w:val="24"/>
          <w:lang w:val="en-US"/>
        </w:rPr>
        <w:lastRenderedPageBreak/>
        <w:t xml:space="preserve">and 1930. Only one firm in four or five reported non-zero dividends in 1920 and 1925, and this percentage even fell below one in ten by 1930, which obviously signaled the </w:t>
      </w:r>
      <w:r w:rsidR="00363CC1">
        <w:rPr>
          <w:rFonts w:ascii="Times New Roman" w:hAnsi="Times New Roman" w:cs="Times New Roman"/>
          <w:sz w:val="24"/>
          <w:szCs w:val="24"/>
          <w:lang w:val="en-US"/>
        </w:rPr>
        <w:t>onset of the worldwide</w:t>
      </w:r>
      <w:r w:rsidR="00111AA6">
        <w:rPr>
          <w:rFonts w:ascii="Times New Roman" w:hAnsi="Times New Roman" w:cs="Times New Roman"/>
          <w:sz w:val="24"/>
          <w:szCs w:val="24"/>
          <w:lang w:val="en-US"/>
        </w:rPr>
        <w:t xml:space="preserve"> economic depression (</w:t>
      </w:r>
      <w:proofErr w:type="spellStart"/>
      <w:r w:rsidR="00111AA6">
        <w:rPr>
          <w:rFonts w:ascii="Times New Roman" w:hAnsi="Times New Roman" w:cs="Times New Roman"/>
          <w:sz w:val="24"/>
          <w:szCs w:val="24"/>
          <w:lang w:val="en-US"/>
        </w:rPr>
        <w:t>Lindblad</w:t>
      </w:r>
      <w:proofErr w:type="spellEnd"/>
      <w:r w:rsidR="00111AA6">
        <w:rPr>
          <w:rFonts w:ascii="Times New Roman" w:hAnsi="Times New Roman" w:cs="Times New Roman"/>
          <w:sz w:val="24"/>
          <w:szCs w:val="24"/>
          <w:lang w:val="en-US"/>
        </w:rPr>
        <w:t xml:space="preserve"> 2014).</w:t>
      </w:r>
    </w:p>
    <w:p w:rsidR="00446B63" w:rsidRDefault="00446B63" w:rsidP="00D12D62">
      <w:pPr>
        <w:spacing w:line="360" w:lineRule="auto"/>
        <w:ind w:firstLine="284"/>
        <w:jc w:val="both"/>
        <w:rPr>
          <w:rFonts w:ascii="Times New Roman" w:hAnsi="Times New Roman" w:cs="Times New Roman"/>
          <w:sz w:val="24"/>
          <w:szCs w:val="24"/>
          <w:lang w:val="en-US"/>
        </w:rPr>
      </w:pPr>
    </w:p>
    <w:p w:rsidR="00446B63" w:rsidRPr="007B7214" w:rsidRDefault="00B2334C" w:rsidP="00446B63">
      <w:pPr>
        <w:spacing w:line="360" w:lineRule="auto"/>
        <w:jc w:val="both"/>
        <w:rPr>
          <w:rFonts w:ascii="Times New Roman" w:hAnsi="Times New Roman" w:cs="Times New Roman"/>
          <w:b/>
          <w:sz w:val="24"/>
          <w:szCs w:val="24"/>
          <w:lang w:val="en-US"/>
        </w:rPr>
      </w:pPr>
      <w:r w:rsidRPr="007B7214">
        <w:rPr>
          <w:rFonts w:ascii="Times New Roman" w:hAnsi="Times New Roman" w:cs="Times New Roman"/>
          <w:b/>
          <w:sz w:val="24"/>
          <w:szCs w:val="24"/>
          <w:lang w:val="en-US"/>
        </w:rPr>
        <w:t>Methodology</w:t>
      </w:r>
    </w:p>
    <w:p w:rsidR="00B2334C" w:rsidRDefault="00B2334C" w:rsidP="00446B6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all students of profitability in private firms readily admit, the dividend rate can only serve as a proxy for the rate of return because more complete information is lacking. Reinvested earnings </w:t>
      </w:r>
      <w:r w:rsidR="00AC6B68">
        <w:rPr>
          <w:rFonts w:ascii="Times New Roman" w:hAnsi="Times New Roman" w:cs="Times New Roman"/>
          <w:sz w:val="24"/>
          <w:szCs w:val="24"/>
          <w:lang w:val="en-US"/>
        </w:rPr>
        <w:t xml:space="preserve">are </w:t>
      </w:r>
      <w:r>
        <w:rPr>
          <w:rFonts w:ascii="Times New Roman" w:hAnsi="Times New Roman" w:cs="Times New Roman"/>
          <w:sz w:val="24"/>
          <w:szCs w:val="24"/>
          <w:lang w:val="en-US"/>
        </w:rPr>
        <w:t>excluded</w:t>
      </w:r>
      <w:r w:rsidR="00AC6B68">
        <w:rPr>
          <w:rFonts w:ascii="Times New Roman" w:hAnsi="Times New Roman" w:cs="Times New Roman"/>
          <w:sz w:val="24"/>
          <w:szCs w:val="24"/>
          <w:lang w:val="en-US"/>
        </w:rPr>
        <w:t xml:space="preserve"> altogether</w:t>
      </w:r>
      <w:r>
        <w:rPr>
          <w:rFonts w:ascii="Times New Roman" w:hAnsi="Times New Roman" w:cs="Times New Roman"/>
          <w:sz w:val="24"/>
          <w:szCs w:val="24"/>
          <w:lang w:val="en-US"/>
        </w:rPr>
        <w:t xml:space="preserve">. Dividend policies may also reflect other priorities than serving as remuneration of shareholders, such as bolstering creditworthiness </w:t>
      </w:r>
      <w:r w:rsidR="00AC6B68">
        <w:rPr>
          <w:rFonts w:ascii="Times New Roman" w:hAnsi="Times New Roman" w:cs="Times New Roman"/>
          <w:sz w:val="24"/>
          <w:szCs w:val="24"/>
          <w:lang w:val="en-US"/>
        </w:rPr>
        <w:t>or creating hidden reserves in</w:t>
      </w:r>
      <w:r>
        <w:rPr>
          <w:rFonts w:ascii="Times New Roman" w:hAnsi="Times New Roman" w:cs="Times New Roman"/>
          <w:sz w:val="24"/>
          <w:szCs w:val="24"/>
          <w:lang w:val="en-US"/>
        </w:rPr>
        <w:t xml:space="preserve"> </w:t>
      </w:r>
      <w:r w:rsidR="00AC6B68">
        <w:rPr>
          <w:rFonts w:ascii="Times New Roman" w:hAnsi="Times New Roman" w:cs="Times New Roman"/>
          <w:sz w:val="24"/>
          <w:szCs w:val="24"/>
          <w:lang w:val="en-US"/>
        </w:rPr>
        <w:t xml:space="preserve">the company. Therefore, the dividend rate must not be seen as more than a rough indication of profitability. Except perhaps in certain family firms, shareholders are likely to sooner or later demand a return on their investment. Whether or not to use the dividend rate as a proxy for profitability is not at stake as the only alternative would be to scrutinize company accounts at the level of the individual firm. The real issue is how to interpret the stated dividend, information that is easily accessible for large numbers of private firms. </w:t>
      </w:r>
    </w:p>
    <w:p w:rsidR="006D0BCE" w:rsidRDefault="006D0BCE" w:rsidP="00D12D62">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matter of how to handle the dividend rate is highlighted by a somewhat </w:t>
      </w:r>
      <w:r w:rsidR="00F56415">
        <w:rPr>
          <w:rFonts w:ascii="Times New Roman" w:hAnsi="Times New Roman" w:cs="Times New Roman"/>
          <w:sz w:val="24"/>
          <w:szCs w:val="24"/>
          <w:lang w:val="en-US"/>
        </w:rPr>
        <w:t xml:space="preserve">obscure contemporary publication </w:t>
      </w:r>
      <w:r>
        <w:rPr>
          <w:rFonts w:ascii="Times New Roman" w:hAnsi="Times New Roman" w:cs="Times New Roman"/>
          <w:sz w:val="24"/>
          <w:szCs w:val="24"/>
          <w:lang w:val="en-US"/>
        </w:rPr>
        <w:t xml:space="preserve">that only recently </w:t>
      </w:r>
      <w:r w:rsidR="00F56415">
        <w:rPr>
          <w:rFonts w:ascii="Times New Roman" w:hAnsi="Times New Roman" w:cs="Times New Roman"/>
          <w:sz w:val="24"/>
          <w:szCs w:val="24"/>
          <w:lang w:val="en-US"/>
        </w:rPr>
        <w:t>resurface</w:t>
      </w:r>
      <w:r>
        <w:rPr>
          <w:rFonts w:ascii="Times New Roman" w:hAnsi="Times New Roman" w:cs="Times New Roman"/>
          <w:sz w:val="24"/>
          <w:szCs w:val="24"/>
          <w:lang w:val="en-US"/>
        </w:rPr>
        <w:t>d.</w:t>
      </w:r>
      <w:r w:rsidR="00F56415">
        <w:rPr>
          <w:rFonts w:ascii="Times New Roman" w:hAnsi="Times New Roman" w:cs="Times New Roman"/>
          <w:sz w:val="24"/>
          <w:szCs w:val="24"/>
          <w:lang w:val="en-US"/>
        </w:rPr>
        <w:t xml:space="preserve"> It was brought out </w:t>
      </w:r>
      <w:r>
        <w:rPr>
          <w:rFonts w:ascii="Times New Roman" w:hAnsi="Times New Roman" w:cs="Times New Roman"/>
          <w:sz w:val="24"/>
          <w:szCs w:val="24"/>
          <w:lang w:val="en-US"/>
        </w:rPr>
        <w:t xml:space="preserve">in 1937 as a thin brochure </w:t>
      </w:r>
      <w:r w:rsidR="00F56415">
        <w:rPr>
          <w:rFonts w:ascii="Times New Roman" w:hAnsi="Times New Roman" w:cs="Times New Roman"/>
          <w:sz w:val="24"/>
          <w:szCs w:val="24"/>
          <w:lang w:val="en-US"/>
        </w:rPr>
        <w:t xml:space="preserve">by the </w:t>
      </w:r>
      <w:r>
        <w:rPr>
          <w:rFonts w:ascii="Times New Roman" w:hAnsi="Times New Roman" w:cs="Times New Roman"/>
          <w:sz w:val="24"/>
          <w:szCs w:val="24"/>
          <w:lang w:val="en-US"/>
        </w:rPr>
        <w:t>b</w:t>
      </w:r>
      <w:r w:rsidR="00F56415">
        <w:rPr>
          <w:rFonts w:ascii="Times New Roman" w:hAnsi="Times New Roman" w:cs="Times New Roman"/>
          <w:sz w:val="24"/>
          <w:szCs w:val="24"/>
          <w:lang w:val="en-US"/>
        </w:rPr>
        <w:t xml:space="preserve">ankers’ </w:t>
      </w:r>
      <w:r>
        <w:rPr>
          <w:rFonts w:ascii="Times New Roman" w:hAnsi="Times New Roman" w:cs="Times New Roman"/>
          <w:sz w:val="24"/>
          <w:szCs w:val="24"/>
          <w:lang w:val="en-US"/>
        </w:rPr>
        <w:t>o</w:t>
      </w:r>
      <w:r w:rsidR="00F56415">
        <w:rPr>
          <w:rFonts w:ascii="Times New Roman" w:hAnsi="Times New Roman" w:cs="Times New Roman"/>
          <w:sz w:val="24"/>
          <w:szCs w:val="24"/>
          <w:lang w:val="en-US"/>
        </w:rPr>
        <w:t xml:space="preserve">ffice </w:t>
      </w:r>
      <w:r>
        <w:rPr>
          <w:rFonts w:ascii="Times New Roman" w:hAnsi="Times New Roman" w:cs="Times New Roman"/>
          <w:sz w:val="24"/>
          <w:szCs w:val="24"/>
          <w:lang w:val="en-US"/>
        </w:rPr>
        <w:t xml:space="preserve">of </w:t>
      </w:r>
      <w:r w:rsidR="00F56415">
        <w:rPr>
          <w:rFonts w:ascii="Times New Roman" w:hAnsi="Times New Roman" w:cs="Times New Roman"/>
          <w:sz w:val="24"/>
          <w:szCs w:val="24"/>
          <w:lang w:val="en-US"/>
        </w:rPr>
        <w:t xml:space="preserve">A.H. Keyser in Amsterdam </w:t>
      </w:r>
      <w:r w:rsidR="00B7179C">
        <w:rPr>
          <w:rFonts w:ascii="Times New Roman" w:hAnsi="Times New Roman" w:cs="Times New Roman"/>
          <w:sz w:val="24"/>
          <w:szCs w:val="24"/>
          <w:lang w:val="en-US"/>
        </w:rPr>
        <w:t>and intended as a</w:t>
      </w:r>
      <w:r>
        <w:rPr>
          <w:rFonts w:ascii="Times New Roman" w:hAnsi="Times New Roman" w:cs="Times New Roman"/>
          <w:sz w:val="24"/>
          <w:szCs w:val="24"/>
          <w:lang w:val="en-US"/>
        </w:rPr>
        <w:t xml:space="preserve">n advice to </w:t>
      </w:r>
      <w:r w:rsidR="00B7179C">
        <w:rPr>
          <w:rFonts w:ascii="Times New Roman" w:hAnsi="Times New Roman" w:cs="Times New Roman"/>
          <w:sz w:val="24"/>
          <w:szCs w:val="24"/>
          <w:lang w:val="en-US"/>
        </w:rPr>
        <w:t>presumptive investors</w:t>
      </w:r>
      <w:r>
        <w:rPr>
          <w:rFonts w:ascii="Times New Roman" w:hAnsi="Times New Roman" w:cs="Times New Roman"/>
          <w:sz w:val="24"/>
          <w:szCs w:val="24"/>
          <w:lang w:val="en-US"/>
        </w:rPr>
        <w:t xml:space="preserve"> with an interest in colonial business</w:t>
      </w:r>
      <w:r w:rsidR="00B7179C">
        <w:rPr>
          <w:rFonts w:ascii="Times New Roman" w:hAnsi="Times New Roman" w:cs="Times New Roman"/>
          <w:sz w:val="24"/>
          <w:szCs w:val="24"/>
          <w:lang w:val="en-US"/>
        </w:rPr>
        <w:t xml:space="preserve">. </w:t>
      </w:r>
      <w:r>
        <w:rPr>
          <w:rFonts w:ascii="Times New Roman" w:hAnsi="Times New Roman" w:cs="Times New Roman"/>
          <w:sz w:val="24"/>
          <w:szCs w:val="24"/>
          <w:lang w:val="en-US"/>
        </w:rPr>
        <w:t>Keyser’s analysis</w:t>
      </w:r>
      <w:r w:rsidR="00B7179C">
        <w:rPr>
          <w:rFonts w:ascii="Times New Roman" w:hAnsi="Times New Roman" w:cs="Times New Roman"/>
          <w:sz w:val="24"/>
          <w:szCs w:val="24"/>
          <w:lang w:val="en-US"/>
        </w:rPr>
        <w:t xml:space="preserve"> </w:t>
      </w:r>
      <w:r>
        <w:rPr>
          <w:rFonts w:ascii="Times New Roman" w:hAnsi="Times New Roman" w:cs="Times New Roman"/>
          <w:sz w:val="24"/>
          <w:szCs w:val="24"/>
          <w:lang w:val="en-US"/>
        </w:rPr>
        <w:t>covered</w:t>
      </w:r>
      <w:r w:rsidR="00B7179C">
        <w:rPr>
          <w:rFonts w:ascii="Times New Roman" w:hAnsi="Times New Roman" w:cs="Times New Roman"/>
          <w:sz w:val="24"/>
          <w:szCs w:val="24"/>
          <w:lang w:val="en-US"/>
        </w:rPr>
        <w:t xml:space="preserve"> 60 firms listed at the Amsterdam Stock Exchange. Average dividend rates over the years 1906-1936 ranged from 10 per cent for rubber companies to </w:t>
      </w:r>
      <w:r>
        <w:rPr>
          <w:rFonts w:ascii="Times New Roman" w:hAnsi="Times New Roman" w:cs="Times New Roman"/>
          <w:sz w:val="24"/>
          <w:szCs w:val="24"/>
          <w:lang w:val="en-US"/>
        </w:rPr>
        <w:t xml:space="preserve">about </w:t>
      </w:r>
      <w:r w:rsidR="00B7179C">
        <w:rPr>
          <w:rFonts w:ascii="Times New Roman" w:hAnsi="Times New Roman" w:cs="Times New Roman"/>
          <w:sz w:val="24"/>
          <w:szCs w:val="24"/>
          <w:lang w:val="en-US"/>
        </w:rPr>
        <w:t>30 per cent for Deli tobacco and Java sugar factories</w:t>
      </w:r>
      <w:r>
        <w:rPr>
          <w:rFonts w:ascii="Times New Roman" w:hAnsi="Times New Roman" w:cs="Times New Roman"/>
          <w:sz w:val="24"/>
          <w:szCs w:val="24"/>
          <w:lang w:val="en-US"/>
        </w:rPr>
        <w:t xml:space="preserve">; </w:t>
      </w:r>
      <w:r w:rsidR="00B7179C">
        <w:rPr>
          <w:rFonts w:ascii="Times New Roman" w:hAnsi="Times New Roman" w:cs="Times New Roman"/>
          <w:sz w:val="24"/>
          <w:szCs w:val="24"/>
          <w:lang w:val="en-US"/>
        </w:rPr>
        <w:t xml:space="preserve">oil and tin </w:t>
      </w:r>
      <w:r>
        <w:rPr>
          <w:rFonts w:ascii="Times New Roman" w:hAnsi="Times New Roman" w:cs="Times New Roman"/>
          <w:sz w:val="24"/>
          <w:szCs w:val="24"/>
          <w:lang w:val="en-US"/>
        </w:rPr>
        <w:t xml:space="preserve">occupied </w:t>
      </w:r>
      <w:r w:rsidR="00B7179C">
        <w:rPr>
          <w:rFonts w:ascii="Times New Roman" w:hAnsi="Times New Roman" w:cs="Times New Roman"/>
          <w:sz w:val="24"/>
          <w:szCs w:val="24"/>
          <w:lang w:val="en-US"/>
        </w:rPr>
        <w:t xml:space="preserve">an intermediary position </w:t>
      </w:r>
      <w:r>
        <w:rPr>
          <w:rFonts w:ascii="Times New Roman" w:hAnsi="Times New Roman" w:cs="Times New Roman"/>
          <w:sz w:val="24"/>
          <w:szCs w:val="24"/>
          <w:lang w:val="en-US"/>
        </w:rPr>
        <w:t xml:space="preserve">with rates </w:t>
      </w:r>
      <w:r w:rsidR="00B7179C">
        <w:rPr>
          <w:rFonts w:ascii="Times New Roman" w:hAnsi="Times New Roman" w:cs="Times New Roman"/>
          <w:sz w:val="24"/>
          <w:szCs w:val="24"/>
          <w:lang w:val="en-US"/>
        </w:rPr>
        <w:t xml:space="preserve">around 22 per cent (Figure 1). </w:t>
      </w:r>
      <w:r>
        <w:rPr>
          <w:rFonts w:ascii="Times New Roman" w:hAnsi="Times New Roman" w:cs="Times New Roman"/>
          <w:sz w:val="24"/>
          <w:szCs w:val="24"/>
          <w:lang w:val="en-US"/>
        </w:rPr>
        <w:t>But</w:t>
      </w:r>
      <w:r w:rsidR="00446B63">
        <w:rPr>
          <w:rFonts w:ascii="Times New Roman" w:hAnsi="Times New Roman" w:cs="Times New Roman"/>
          <w:sz w:val="24"/>
          <w:szCs w:val="24"/>
          <w:lang w:val="en-US"/>
        </w:rPr>
        <w:t xml:space="preserve"> th</w:t>
      </w:r>
      <w:r>
        <w:rPr>
          <w:rFonts w:ascii="Times New Roman" w:hAnsi="Times New Roman" w:cs="Times New Roman"/>
          <w:sz w:val="24"/>
          <w:szCs w:val="24"/>
          <w:lang w:val="en-US"/>
        </w:rPr>
        <w:t xml:space="preserve">is bankers’ office </w:t>
      </w:r>
      <w:r w:rsidR="00446B63">
        <w:rPr>
          <w:rFonts w:ascii="Times New Roman" w:hAnsi="Times New Roman" w:cs="Times New Roman"/>
          <w:sz w:val="24"/>
          <w:szCs w:val="24"/>
          <w:lang w:val="en-US"/>
        </w:rPr>
        <w:t xml:space="preserve">also calculated the average real gain over the years 1919-1936 by expressing dividends and other claims </w:t>
      </w:r>
      <w:r>
        <w:rPr>
          <w:rFonts w:ascii="Times New Roman" w:hAnsi="Times New Roman" w:cs="Times New Roman"/>
          <w:sz w:val="24"/>
          <w:szCs w:val="24"/>
          <w:lang w:val="en-US"/>
        </w:rPr>
        <w:t xml:space="preserve">related to </w:t>
      </w:r>
      <w:r w:rsidR="00446B63">
        <w:rPr>
          <w:rFonts w:ascii="Times New Roman" w:hAnsi="Times New Roman" w:cs="Times New Roman"/>
          <w:sz w:val="24"/>
          <w:szCs w:val="24"/>
          <w:lang w:val="en-US"/>
        </w:rPr>
        <w:t xml:space="preserve">the share price at the time, i.e. the current value of equity. The recalculation resulted in significantly lower rates of return, at most 9.2 per cent in oil and 8.7 per cent for tin and Java sugar, with rubber again at the lower end, now </w:t>
      </w:r>
      <w:r>
        <w:rPr>
          <w:rFonts w:ascii="Times New Roman" w:hAnsi="Times New Roman" w:cs="Times New Roman"/>
          <w:sz w:val="24"/>
          <w:szCs w:val="24"/>
          <w:lang w:val="en-US"/>
        </w:rPr>
        <w:t xml:space="preserve">at </w:t>
      </w:r>
      <w:r w:rsidR="00446B63">
        <w:rPr>
          <w:rFonts w:ascii="Times New Roman" w:hAnsi="Times New Roman" w:cs="Times New Roman"/>
          <w:sz w:val="24"/>
          <w:szCs w:val="24"/>
          <w:lang w:val="en-US"/>
        </w:rPr>
        <w:t xml:space="preserve">6 per cent </w:t>
      </w:r>
      <w:r>
        <w:rPr>
          <w:rFonts w:ascii="Times New Roman" w:hAnsi="Times New Roman" w:cs="Times New Roman"/>
          <w:sz w:val="24"/>
          <w:szCs w:val="24"/>
          <w:lang w:val="en-US"/>
        </w:rPr>
        <w:t>only</w:t>
      </w:r>
      <w:r w:rsidR="00446B63">
        <w:rPr>
          <w:rFonts w:ascii="Times New Roman" w:hAnsi="Times New Roman" w:cs="Times New Roman"/>
          <w:sz w:val="24"/>
          <w:szCs w:val="24"/>
          <w:lang w:val="en-US"/>
        </w:rPr>
        <w:t>. The latter result was, considering the long period of time under consideration, in the words of the bankers, ‘in itself far from unsatisfactory’ (Keyser 1937: 8-9).</w:t>
      </w:r>
    </w:p>
    <w:p w:rsidR="007A095D" w:rsidRDefault="006D0BCE" w:rsidP="00D12D62">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Dividend is always paid out on the basis of nominal equity. </w:t>
      </w:r>
      <w:r w:rsidR="003720A3">
        <w:rPr>
          <w:rFonts w:ascii="Times New Roman" w:hAnsi="Times New Roman" w:cs="Times New Roman"/>
          <w:sz w:val="24"/>
          <w:szCs w:val="24"/>
          <w:lang w:val="en-US"/>
        </w:rPr>
        <w:t xml:space="preserve">Taken at face value, the </w:t>
      </w:r>
      <w:r>
        <w:rPr>
          <w:rFonts w:ascii="Times New Roman" w:hAnsi="Times New Roman" w:cs="Times New Roman"/>
          <w:sz w:val="24"/>
          <w:szCs w:val="24"/>
          <w:lang w:val="en-US"/>
        </w:rPr>
        <w:t>dividend rate</w:t>
      </w:r>
      <w:r w:rsidR="003720A3">
        <w:rPr>
          <w:rFonts w:ascii="Times New Roman" w:hAnsi="Times New Roman" w:cs="Times New Roman"/>
          <w:sz w:val="24"/>
          <w:szCs w:val="24"/>
          <w:lang w:val="en-US"/>
        </w:rPr>
        <w:t xml:space="preserve"> gives a </w:t>
      </w:r>
      <w:r>
        <w:rPr>
          <w:rFonts w:ascii="Times New Roman" w:hAnsi="Times New Roman" w:cs="Times New Roman"/>
          <w:sz w:val="24"/>
          <w:szCs w:val="24"/>
          <w:lang w:val="en-US"/>
        </w:rPr>
        <w:t xml:space="preserve">misleading </w:t>
      </w:r>
      <w:r w:rsidR="003720A3">
        <w:rPr>
          <w:rFonts w:ascii="Times New Roman" w:hAnsi="Times New Roman" w:cs="Times New Roman"/>
          <w:sz w:val="24"/>
          <w:szCs w:val="24"/>
          <w:lang w:val="en-US"/>
        </w:rPr>
        <w:t xml:space="preserve">impression </w:t>
      </w:r>
      <w:r>
        <w:rPr>
          <w:rFonts w:ascii="Times New Roman" w:hAnsi="Times New Roman" w:cs="Times New Roman"/>
          <w:sz w:val="24"/>
          <w:szCs w:val="24"/>
          <w:lang w:val="en-US"/>
        </w:rPr>
        <w:t xml:space="preserve">to the extent that the value of the equity has </w:t>
      </w:r>
      <w:r w:rsidR="003720A3">
        <w:rPr>
          <w:rFonts w:ascii="Times New Roman" w:hAnsi="Times New Roman" w:cs="Times New Roman"/>
          <w:sz w:val="24"/>
          <w:szCs w:val="24"/>
          <w:lang w:val="en-US"/>
        </w:rPr>
        <w:t xml:space="preserve">in the meantime </w:t>
      </w:r>
      <w:r>
        <w:rPr>
          <w:rFonts w:ascii="Times New Roman" w:hAnsi="Times New Roman" w:cs="Times New Roman"/>
          <w:sz w:val="24"/>
          <w:szCs w:val="24"/>
          <w:lang w:val="en-US"/>
        </w:rPr>
        <w:t>changed</w:t>
      </w:r>
      <w:r w:rsidR="003720A3">
        <w:rPr>
          <w:rFonts w:ascii="Times New Roman" w:hAnsi="Times New Roman" w:cs="Times New Roman"/>
          <w:sz w:val="24"/>
          <w:szCs w:val="24"/>
          <w:lang w:val="en-US"/>
        </w:rPr>
        <w:t xml:space="preserve">. Such change is reflected in the movement of share prices since the preceding year. As an illustration, we refer to the </w:t>
      </w:r>
      <w:r w:rsidR="003720A3" w:rsidRPr="003720A3">
        <w:rPr>
          <w:rFonts w:ascii="Times New Roman" w:hAnsi="Times New Roman" w:cs="Times New Roman"/>
          <w:i/>
          <w:sz w:val="24"/>
          <w:szCs w:val="24"/>
          <w:lang w:val="en-US"/>
        </w:rPr>
        <w:t xml:space="preserve">Deli </w:t>
      </w:r>
      <w:proofErr w:type="spellStart"/>
      <w:r w:rsidR="003720A3" w:rsidRPr="003720A3">
        <w:rPr>
          <w:rFonts w:ascii="Times New Roman" w:hAnsi="Times New Roman" w:cs="Times New Roman"/>
          <w:i/>
          <w:sz w:val="24"/>
          <w:szCs w:val="24"/>
          <w:lang w:val="en-US"/>
        </w:rPr>
        <w:t>Maatschappij</w:t>
      </w:r>
      <w:proofErr w:type="spellEnd"/>
      <w:r w:rsidR="003720A3">
        <w:rPr>
          <w:rFonts w:ascii="Times New Roman" w:hAnsi="Times New Roman" w:cs="Times New Roman"/>
          <w:sz w:val="24"/>
          <w:szCs w:val="24"/>
          <w:lang w:val="en-US"/>
        </w:rPr>
        <w:t xml:space="preserve"> (Deli Company), the leading tobacco estate company in the plantation belt of Deli in North Sumatra (then East Coast of Sumatra). In 1925 nominal equity amounted to 30 million </w:t>
      </w:r>
      <w:r w:rsidR="003720A3">
        <w:rPr>
          <w:rFonts w:ascii="Times New Roman" w:hAnsi="Times New Roman" w:cs="Times New Roman"/>
          <w:sz w:val="24"/>
          <w:szCs w:val="24"/>
          <w:lang w:val="en-US"/>
        </w:rPr>
        <w:lastRenderedPageBreak/>
        <w:t xml:space="preserve">guilders. The board of directors proposed a dividend rate of 20 per cent, i.e. 6 million guilders were paid out. This share price of this firm’s equity was in 1925 four times as high as initially. The dividend, offset against the current value of equity, was therefore not 20 but 5 per cent. </w:t>
      </w:r>
      <w:r w:rsidR="007A095D">
        <w:rPr>
          <w:rFonts w:ascii="Times New Roman" w:hAnsi="Times New Roman" w:cs="Times New Roman"/>
          <w:sz w:val="24"/>
          <w:szCs w:val="24"/>
          <w:lang w:val="en-US"/>
        </w:rPr>
        <w:t>In most cases, adjusting the dividend rate on nominal equity to the current value of equity will result in a lower effective dividend rate of return.</w:t>
      </w:r>
    </w:p>
    <w:p w:rsidR="00574A17" w:rsidRDefault="007A095D" w:rsidP="00D12D62">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But there is more. A shareholder will get a direct benefit in the form of dividend paid out. In addition,</w:t>
      </w:r>
      <w:r w:rsidR="00410D94">
        <w:rPr>
          <w:rFonts w:ascii="Times New Roman" w:hAnsi="Times New Roman" w:cs="Times New Roman"/>
          <w:sz w:val="24"/>
          <w:szCs w:val="24"/>
          <w:lang w:val="en-US"/>
        </w:rPr>
        <w:t xml:space="preserve"> there is a potential gain due to rising share prices, or conversely, a potential loss if share prices have been falling. This gain or loss will, of course, only materialize when shares are being sold. Again, it is instructive to look at the </w:t>
      </w:r>
      <w:r w:rsidR="00410D94" w:rsidRPr="00410D94">
        <w:rPr>
          <w:rFonts w:ascii="Times New Roman" w:hAnsi="Times New Roman" w:cs="Times New Roman"/>
          <w:i/>
          <w:sz w:val="24"/>
          <w:szCs w:val="24"/>
          <w:lang w:val="en-US"/>
        </w:rPr>
        <w:t xml:space="preserve">Deli </w:t>
      </w:r>
      <w:proofErr w:type="spellStart"/>
      <w:r w:rsidR="00410D94" w:rsidRPr="00410D94">
        <w:rPr>
          <w:rFonts w:ascii="Times New Roman" w:hAnsi="Times New Roman" w:cs="Times New Roman"/>
          <w:i/>
          <w:sz w:val="24"/>
          <w:szCs w:val="24"/>
          <w:lang w:val="en-US"/>
        </w:rPr>
        <w:t>Maatschappij</w:t>
      </w:r>
      <w:proofErr w:type="spellEnd"/>
      <w:r w:rsidR="00410D94">
        <w:rPr>
          <w:rFonts w:ascii="Times New Roman" w:hAnsi="Times New Roman" w:cs="Times New Roman"/>
          <w:sz w:val="24"/>
          <w:szCs w:val="24"/>
          <w:lang w:val="en-US"/>
        </w:rPr>
        <w:t>. Share prices for this firm was 5 per cent higher in 1925 than in the preceding year. This represented an additional return of another 5 per cent. The total gain then becomes 10 per cent rather than the original 20 per cent dividend rate or the 5 per cent adjusted dividend rate. If the stock market is doing well, incorporation of potential gains from the higher value of shares will raise the total rate of</w:t>
      </w:r>
      <w:r w:rsidR="00574A17">
        <w:rPr>
          <w:rFonts w:ascii="Times New Roman" w:hAnsi="Times New Roman" w:cs="Times New Roman"/>
          <w:sz w:val="24"/>
          <w:szCs w:val="24"/>
          <w:lang w:val="en-US"/>
        </w:rPr>
        <w:t xml:space="preserve"> return for the investor, and vice versa. </w:t>
      </w:r>
    </w:p>
    <w:p w:rsidR="00574A17" w:rsidRDefault="00574A17" w:rsidP="00D12D62">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two types of gain for the investor </w:t>
      </w:r>
      <w:r w:rsidR="00CB21B7">
        <w:rPr>
          <w:rFonts w:ascii="Times New Roman" w:hAnsi="Times New Roman" w:cs="Times New Roman"/>
          <w:sz w:val="24"/>
          <w:szCs w:val="24"/>
          <w:lang w:val="en-US"/>
        </w:rPr>
        <w:t>m</w:t>
      </w:r>
      <w:r>
        <w:rPr>
          <w:rFonts w:ascii="Times New Roman" w:hAnsi="Times New Roman" w:cs="Times New Roman"/>
          <w:sz w:val="24"/>
          <w:szCs w:val="24"/>
          <w:lang w:val="en-US"/>
        </w:rPr>
        <w:t>ay reinforce or offset one another</w:t>
      </w:r>
      <w:r w:rsidR="00CB21B7">
        <w:rPr>
          <w:rFonts w:ascii="Times New Roman" w:hAnsi="Times New Roman" w:cs="Times New Roman"/>
          <w:sz w:val="24"/>
          <w:szCs w:val="24"/>
          <w:lang w:val="en-US"/>
        </w:rPr>
        <w:t xml:space="preserve">. However, they </w:t>
      </w:r>
      <w:r>
        <w:rPr>
          <w:rFonts w:ascii="Times New Roman" w:hAnsi="Times New Roman" w:cs="Times New Roman"/>
          <w:sz w:val="24"/>
          <w:szCs w:val="24"/>
          <w:lang w:val="en-US"/>
        </w:rPr>
        <w:t xml:space="preserve">remain </w:t>
      </w:r>
      <w:r w:rsidR="00CB21B7">
        <w:rPr>
          <w:rFonts w:ascii="Times New Roman" w:hAnsi="Times New Roman" w:cs="Times New Roman"/>
          <w:sz w:val="24"/>
          <w:szCs w:val="24"/>
          <w:lang w:val="en-US"/>
        </w:rPr>
        <w:t xml:space="preserve">fundamentally </w:t>
      </w:r>
      <w:r>
        <w:rPr>
          <w:rFonts w:ascii="Times New Roman" w:hAnsi="Times New Roman" w:cs="Times New Roman"/>
          <w:sz w:val="24"/>
          <w:szCs w:val="24"/>
          <w:lang w:val="en-US"/>
        </w:rPr>
        <w:t>different</w:t>
      </w:r>
      <w:r w:rsidR="00CB21B7">
        <w:rPr>
          <w:rFonts w:ascii="Times New Roman" w:hAnsi="Times New Roman" w:cs="Times New Roman"/>
          <w:sz w:val="24"/>
          <w:szCs w:val="24"/>
          <w:lang w:val="en-US"/>
        </w:rPr>
        <w:t xml:space="preserve"> with respect to the timing of realizing gains</w:t>
      </w:r>
      <w:r>
        <w:rPr>
          <w:rFonts w:ascii="Times New Roman" w:hAnsi="Times New Roman" w:cs="Times New Roman"/>
          <w:sz w:val="24"/>
          <w:szCs w:val="24"/>
          <w:lang w:val="en-US"/>
        </w:rPr>
        <w:t>.</w:t>
      </w:r>
      <w:r w:rsidR="00CB21B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D65170" w:rsidRDefault="00CB21B7" w:rsidP="00D12D62">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method of adjusting dividend rates to changes in the value of equity has recently been applied by </w:t>
      </w:r>
      <w:proofErr w:type="spellStart"/>
      <w:r>
        <w:rPr>
          <w:rFonts w:ascii="Times New Roman" w:hAnsi="Times New Roman" w:cs="Times New Roman"/>
          <w:sz w:val="24"/>
          <w:szCs w:val="24"/>
          <w:lang w:val="en-US"/>
        </w:rPr>
        <w:t>Frans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Buelens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Ewout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Frankema</w:t>
      </w:r>
      <w:proofErr w:type="spellEnd"/>
      <w:r>
        <w:rPr>
          <w:rFonts w:ascii="Times New Roman" w:hAnsi="Times New Roman" w:cs="Times New Roman"/>
          <w:sz w:val="24"/>
          <w:szCs w:val="24"/>
          <w:lang w:val="en-US"/>
        </w:rPr>
        <w:t>, using a small sample of 17 colonial firms listed at the Brussels Stock Exchange. They find an average annual adjusted dividend rate at 14.3 per cent for the years 1919-1928</w:t>
      </w:r>
      <w:r w:rsidR="007A095D">
        <w:rPr>
          <w:rFonts w:ascii="Times New Roman" w:hAnsi="Times New Roman" w:cs="Times New Roman"/>
          <w:sz w:val="24"/>
          <w:szCs w:val="24"/>
          <w:lang w:val="en-US"/>
        </w:rPr>
        <w:t xml:space="preserve"> </w:t>
      </w:r>
      <w:r w:rsidR="00A620D3">
        <w:rPr>
          <w:rFonts w:ascii="Times New Roman" w:hAnsi="Times New Roman" w:cs="Times New Roman"/>
          <w:sz w:val="24"/>
          <w:szCs w:val="24"/>
          <w:lang w:val="en-US"/>
        </w:rPr>
        <w:t>and a sharp drop to an average of – 2.8 per cent over the period 1929-1938. They conclude that these colonial firms did better than the world average during the 1920s but comparatively worse during the 1930s (</w:t>
      </w:r>
      <w:proofErr w:type="spellStart"/>
      <w:r w:rsidR="00A620D3">
        <w:rPr>
          <w:rFonts w:ascii="Times New Roman" w:hAnsi="Times New Roman" w:cs="Times New Roman"/>
          <w:sz w:val="24"/>
          <w:szCs w:val="24"/>
          <w:lang w:val="en-US"/>
        </w:rPr>
        <w:t>Buelens</w:t>
      </w:r>
      <w:proofErr w:type="spellEnd"/>
      <w:r w:rsidR="00A620D3">
        <w:rPr>
          <w:rFonts w:ascii="Times New Roman" w:hAnsi="Times New Roman" w:cs="Times New Roman"/>
          <w:sz w:val="24"/>
          <w:szCs w:val="24"/>
          <w:lang w:val="en-US"/>
        </w:rPr>
        <w:t xml:space="preserve"> and </w:t>
      </w:r>
      <w:proofErr w:type="spellStart"/>
      <w:r w:rsidR="00A620D3">
        <w:rPr>
          <w:rFonts w:ascii="Times New Roman" w:hAnsi="Times New Roman" w:cs="Times New Roman"/>
          <w:sz w:val="24"/>
          <w:szCs w:val="24"/>
          <w:lang w:val="en-US"/>
        </w:rPr>
        <w:t>Frankema</w:t>
      </w:r>
      <w:proofErr w:type="spellEnd"/>
      <w:r w:rsidR="00A620D3">
        <w:rPr>
          <w:rFonts w:ascii="Times New Roman" w:hAnsi="Times New Roman" w:cs="Times New Roman"/>
          <w:sz w:val="24"/>
          <w:szCs w:val="24"/>
          <w:lang w:val="en-US"/>
        </w:rPr>
        <w:t xml:space="preserve"> 2016). It is worth noting that </w:t>
      </w:r>
      <w:proofErr w:type="spellStart"/>
      <w:r w:rsidR="00A620D3">
        <w:rPr>
          <w:rFonts w:ascii="Times New Roman" w:hAnsi="Times New Roman" w:cs="Times New Roman"/>
          <w:sz w:val="24"/>
          <w:szCs w:val="24"/>
          <w:lang w:val="en-US"/>
        </w:rPr>
        <w:t>Buelens</w:t>
      </w:r>
      <w:proofErr w:type="spellEnd"/>
      <w:r w:rsidR="00A620D3">
        <w:rPr>
          <w:rFonts w:ascii="Times New Roman" w:hAnsi="Times New Roman" w:cs="Times New Roman"/>
          <w:sz w:val="24"/>
          <w:szCs w:val="24"/>
          <w:lang w:val="en-US"/>
        </w:rPr>
        <w:t xml:space="preserve"> and </w:t>
      </w:r>
      <w:proofErr w:type="spellStart"/>
      <w:r w:rsidR="00A620D3">
        <w:rPr>
          <w:rFonts w:ascii="Times New Roman" w:hAnsi="Times New Roman" w:cs="Times New Roman"/>
          <w:sz w:val="24"/>
          <w:szCs w:val="24"/>
          <w:lang w:val="en-US"/>
        </w:rPr>
        <w:t>Frankema</w:t>
      </w:r>
      <w:proofErr w:type="spellEnd"/>
      <w:r w:rsidR="00A620D3">
        <w:rPr>
          <w:rFonts w:ascii="Times New Roman" w:hAnsi="Times New Roman" w:cs="Times New Roman"/>
          <w:sz w:val="24"/>
          <w:szCs w:val="24"/>
          <w:lang w:val="en-US"/>
        </w:rPr>
        <w:t xml:space="preserve"> apply a geometric rather than an arithmetic average in order to account for the cumulative effect of c</w:t>
      </w:r>
      <w:r w:rsidR="00D65170">
        <w:rPr>
          <w:rFonts w:ascii="Times New Roman" w:hAnsi="Times New Roman" w:cs="Times New Roman"/>
          <w:sz w:val="24"/>
          <w:szCs w:val="24"/>
          <w:lang w:val="en-US"/>
        </w:rPr>
        <w:t xml:space="preserve">hanges in adjacent years, i.e. annual returns are not conceived as independent of one another. </w:t>
      </w:r>
    </w:p>
    <w:p w:rsidR="00D65170" w:rsidRDefault="00D65170" w:rsidP="00D12D62">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major bottleneck in estimating average rates of return from dividends as reported by individual firms remains the effort involved in creating a sufficiently large sample. A shortcut avoiding firm-level examination was suggested by the economic historian Pierre van der </w:t>
      </w:r>
      <w:proofErr w:type="spellStart"/>
      <w:r>
        <w:rPr>
          <w:rFonts w:ascii="Times New Roman" w:hAnsi="Times New Roman" w:cs="Times New Roman"/>
          <w:sz w:val="24"/>
          <w:szCs w:val="24"/>
          <w:lang w:val="en-US"/>
        </w:rPr>
        <w:t>Eng</w:t>
      </w:r>
      <w:proofErr w:type="spellEnd"/>
      <w:r>
        <w:rPr>
          <w:rFonts w:ascii="Times New Roman" w:hAnsi="Times New Roman" w:cs="Times New Roman"/>
          <w:sz w:val="24"/>
          <w:szCs w:val="24"/>
          <w:lang w:val="en-US"/>
        </w:rPr>
        <w:t xml:space="preserve">, who compared total dividend transmittances in the balance of the payments with spot estimates of total equity invested in colonial Indonesia. His overall rate of return came down to 10.6 per cent in 1917, falling to 5 per cent in 1922 and further to 1.5 per cent in 1930 (Van der </w:t>
      </w:r>
      <w:proofErr w:type="spellStart"/>
      <w:r>
        <w:rPr>
          <w:rFonts w:ascii="Times New Roman" w:hAnsi="Times New Roman" w:cs="Times New Roman"/>
          <w:sz w:val="24"/>
          <w:szCs w:val="24"/>
          <w:lang w:val="en-US"/>
        </w:rPr>
        <w:t>Eng</w:t>
      </w:r>
      <w:proofErr w:type="spellEnd"/>
      <w:r>
        <w:rPr>
          <w:rFonts w:ascii="Times New Roman" w:hAnsi="Times New Roman" w:cs="Times New Roman"/>
          <w:sz w:val="24"/>
          <w:szCs w:val="24"/>
          <w:lang w:val="en-US"/>
        </w:rPr>
        <w:t xml:space="preserve"> 2014).</w:t>
      </w:r>
      <w:r w:rsidR="00F12E84">
        <w:rPr>
          <w:rFonts w:ascii="Times New Roman" w:hAnsi="Times New Roman" w:cs="Times New Roman"/>
          <w:sz w:val="24"/>
          <w:szCs w:val="24"/>
          <w:lang w:val="en-US"/>
        </w:rPr>
        <w:t xml:space="preserve"> Yet, this method assumes that all dividends were transmitted, thus figuring in the balance of payments statistics for the Netherlands Indies, but this need not at all be the case. It would appear that such an approach is too crude to compete with examination of the evidence on the level of individual companies. </w:t>
      </w:r>
    </w:p>
    <w:p w:rsidR="007B7214" w:rsidRDefault="00F12E84" w:rsidP="00D12D62">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 brief recapitulation of the </w:t>
      </w:r>
      <w:r w:rsidR="007B7214">
        <w:rPr>
          <w:rFonts w:ascii="Times New Roman" w:hAnsi="Times New Roman" w:cs="Times New Roman"/>
          <w:sz w:val="24"/>
          <w:szCs w:val="24"/>
          <w:lang w:val="en-US"/>
        </w:rPr>
        <w:t xml:space="preserve">various methods applied shows how the quest for a representation of profitability in colonial investment has been plagued by one of two shortcomings. Either stated dividends are interpreted without being linked to share price developments, or the sample of firms examined has been uncomfortably tiny. Either the method has not been sophisticated enough or it has been applied to too few firms. Ironically, the ‘best’ estimates, considering both the method applied and the size of the sample, may very well be those presented in an obscure publication by the bankers’ office of Keyser in 1937! </w:t>
      </w:r>
    </w:p>
    <w:p w:rsidR="007B7214" w:rsidRDefault="007B7214" w:rsidP="00D12D62">
      <w:pPr>
        <w:spacing w:line="360" w:lineRule="auto"/>
        <w:ind w:firstLine="284"/>
        <w:jc w:val="both"/>
        <w:rPr>
          <w:rFonts w:ascii="Times New Roman" w:hAnsi="Times New Roman" w:cs="Times New Roman"/>
          <w:sz w:val="24"/>
          <w:szCs w:val="24"/>
          <w:lang w:val="en-US"/>
        </w:rPr>
      </w:pPr>
    </w:p>
    <w:p w:rsidR="007B7214" w:rsidRPr="007B7214" w:rsidRDefault="007B7214" w:rsidP="007B7214">
      <w:pPr>
        <w:spacing w:line="360" w:lineRule="auto"/>
        <w:jc w:val="both"/>
        <w:rPr>
          <w:rFonts w:ascii="Times New Roman" w:hAnsi="Times New Roman" w:cs="Times New Roman"/>
          <w:b/>
          <w:sz w:val="24"/>
          <w:szCs w:val="24"/>
          <w:lang w:val="en-US"/>
        </w:rPr>
      </w:pPr>
      <w:r w:rsidRPr="007B7214">
        <w:rPr>
          <w:rFonts w:ascii="Times New Roman" w:hAnsi="Times New Roman" w:cs="Times New Roman"/>
          <w:b/>
          <w:sz w:val="24"/>
          <w:szCs w:val="24"/>
          <w:lang w:val="en-US"/>
        </w:rPr>
        <w:t>New</w:t>
      </w:r>
      <w:r w:rsidR="00D34692">
        <w:rPr>
          <w:rFonts w:ascii="Times New Roman" w:hAnsi="Times New Roman" w:cs="Times New Roman"/>
          <w:b/>
          <w:sz w:val="24"/>
          <w:szCs w:val="24"/>
          <w:lang w:val="en-US"/>
        </w:rPr>
        <w:t xml:space="preserve"> estimates</w:t>
      </w:r>
    </w:p>
    <w:p w:rsidR="007B7214" w:rsidRPr="007B7214" w:rsidRDefault="007B7214" w:rsidP="007B721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Current research on the impact of </w:t>
      </w:r>
      <w:r w:rsidR="00906992">
        <w:rPr>
          <w:rFonts w:ascii="Times New Roman" w:hAnsi="Times New Roman" w:cs="Times New Roman"/>
          <w:sz w:val="24"/>
          <w:szCs w:val="24"/>
          <w:lang w:val="en-US"/>
        </w:rPr>
        <w:t xml:space="preserve">foreign firms </w:t>
      </w:r>
      <w:r>
        <w:rPr>
          <w:rFonts w:ascii="Times New Roman" w:hAnsi="Times New Roman" w:cs="Times New Roman"/>
          <w:sz w:val="24"/>
          <w:szCs w:val="24"/>
          <w:lang w:val="en-US"/>
        </w:rPr>
        <w:t xml:space="preserve">in Indonesia </w:t>
      </w:r>
      <w:r w:rsidR="00906992">
        <w:rPr>
          <w:rFonts w:ascii="Times New Roman" w:hAnsi="Times New Roman" w:cs="Times New Roman"/>
          <w:sz w:val="24"/>
          <w:szCs w:val="24"/>
          <w:lang w:val="en-US"/>
        </w:rPr>
        <w:t xml:space="preserve">during the </w:t>
      </w:r>
      <w:r>
        <w:rPr>
          <w:rFonts w:ascii="Times New Roman" w:hAnsi="Times New Roman" w:cs="Times New Roman"/>
          <w:sz w:val="24"/>
          <w:szCs w:val="24"/>
          <w:lang w:val="en-US"/>
        </w:rPr>
        <w:t>period</w:t>
      </w:r>
      <w:r w:rsidR="00906992">
        <w:rPr>
          <w:rFonts w:ascii="Times New Roman" w:hAnsi="Times New Roman" w:cs="Times New Roman"/>
          <w:sz w:val="24"/>
          <w:szCs w:val="24"/>
          <w:lang w:val="en-US"/>
        </w:rPr>
        <w:t xml:space="preserve"> between 1910 and the late 1950s offers a unique opportunity to properly interpret estimated rates of return for a large number of firms operating in the colonial economy between 1910 and 1940. This is done by a juxtaposition of data from two primary sources, the </w:t>
      </w:r>
      <w:proofErr w:type="spellStart"/>
      <w:r w:rsidR="00906992" w:rsidRPr="00906992">
        <w:rPr>
          <w:rFonts w:ascii="Times New Roman" w:hAnsi="Times New Roman" w:cs="Times New Roman"/>
          <w:i/>
          <w:sz w:val="24"/>
          <w:szCs w:val="24"/>
          <w:lang w:val="en-US"/>
        </w:rPr>
        <w:t>Handboek</w:t>
      </w:r>
      <w:proofErr w:type="spellEnd"/>
      <w:r w:rsidR="00906992">
        <w:rPr>
          <w:rFonts w:ascii="Times New Roman" w:hAnsi="Times New Roman" w:cs="Times New Roman"/>
          <w:sz w:val="24"/>
          <w:szCs w:val="24"/>
          <w:lang w:val="en-US"/>
        </w:rPr>
        <w:t xml:space="preserve"> mentioned above and the share prices of all firms registered at the Amsterdam Stock Exchange.</w:t>
      </w:r>
      <w:r w:rsidR="00270DE8">
        <w:rPr>
          <w:rStyle w:val="FootnoteReference"/>
          <w:rFonts w:ascii="Times New Roman" w:hAnsi="Times New Roman" w:cs="Times New Roman"/>
          <w:sz w:val="24"/>
          <w:szCs w:val="24"/>
          <w:lang w:val="en-US"/>
        </w:rPr>
        <w:footnoteReference w:id="2"/>
      </w:r>
      <w:r w:rsidR="003753BA">
        <w:rPr>
          <w:rFonts w:ascii="Times New Roman" w:hAnsi="Times New Roman" w:cs="Times New Roman"/>
          <w:sz w:val="24"/>
          <w:szCs w:val="24"/>
          <w:lang w:val="en-US"/>
        </w:rPr>
        <w:t xml:space="preserve"> The study covered seven spot estimates at equal intervals, i.e. every five years </w:t>
      </w:r>
      <w:r w:rsidR="00B213E3">
        <w:rPr>
          <w:rFonts w:ascii="Times New Roman" w:hAnsi="Times New Roman" w:cs="Times New Roman"/>
          <w:sz w:val="24"/>
          <w:szCs w:val="24"/>
          <w:lang w:val="en-US"/>
        </w:rPr>
        <w:t>between</w:t>
      </w:r>
      <w:r w:rsidR="003753BA">
        <w:rPr>
          <w:rFonts w:ascii="Times New Roman" w:hAnsi="Times New Roman" w:cs="Times New Roman"/>
          <w:sz w:val="24"/>
          <w:szCs w:val="24"/>
          <w:lang w:val="en-US"/>
        </w:rPr>
        <w:t xml:space="preserve"> 1910 </w:t>
      </w:r>
      <w:r w:rsidR="00B213E3">
        <w:rPr>
          <w:rFonts w:ascii="Times New Roman" w:hAnsi="Times New Roman" w:cs="Times New Roman"/>
          <w:sz w:val="24"/>
          <w:szCs w:val="24"/>
          <w:lang w:val="en-US"/>
        </w:rPr>
        <w:t>and</w:t>
      </w:r>
      <w:r w:rsidR="003753BA">
        <w:rPr>
          <w:rFonts w:ascii="Times New Roman" w:hAnsi="Times New Roman" w:cs="Times New Roman"/>
          <w:sz w:val="24"/>
          <w:szCs w:val="24"/>
          <w:lang w:val="en-US"/>
        </w:rPr>
        <w:t xml:space="preserve"> 1940.</w:t>
      </w:r>
      <w:r w:rsidR="00B213E3">
        <w:rPr>
          <w:rStyle w:val="FootnoteReference"/>
          <w:rFonts w:ascii="Times New Roman" w:hAnsi="Times New Roman" w:cs="Times New Roman"/>
          <w:sz w:val="24"/>
          <w:szCs w:val="24"/>
          <w:lang w:val="en-US"/>
        </w:rPr>
        <w:footnoteReference w:id="3"/>
      </w:r>
      <w:r w:rsidR="003753BA">
        <w:rPr>
          <w:rFonts w:ascii="Times New Roman" w:hAnsi="Times New Roman" w:cs="Times New Roman"/>
          <w:sz w:val="24"/>
          <w:szCs w:val="24"/>
          <w:lang w:val="en-US"/>
        </w:rPr>
        <w:t xml:space="preserve"> </w:t>
      </w:r>
      <w:r w:rsidR="00906992">
        <w:rPr>
          <w:rFonts w:ascii="Times New Roman" w:hAnsi="Times New Roman" w:cs="Times New Roman"/>
          <w:sz w:val="24"/>
          <w:szCs w:val="24"/>
          <w:lang w:val="en-US"/>
        </w:rPr>
        <w:t xml:space="preserve"> </w:t>
      </w:r>
    </w:p>
    <w:p w:rsidR="001D56A7" w:rsidRDefault="007B7214" w:rsidP="00D12D62">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213E3">
        <w:rPr>
          <w:rFonts w:ascii="Times New Roman" w:hAnsi="Times New Roman" w:cs="Times New Roman"/>
          <w:sz w:val="24"/>
          <w:szCs w:val="24"/>
          <w:lang w:val="en-US"/>
        </w:rPr>
        <w:t>The coverage of th</w:t>
      </w:r>
      <w:r w:rsidR="00A8242B">
        <w:rPr>
          <w:rFonts w:ascii="Times New Roman" w:hAnsi="Times New Roman" w:cs="Times New Roman"/>
          <w:sz w:val="24"/>
          <w:szCs w:val="24"/>
          <w:lang w:val="en-US"/>
        </w:rPr>
        <w:t>e</w:t>
      </w:r>
      <w:r w:rsidR="00B213E3">
        <w:rPr>
          <w:rFonts w:ascii="Times New Roman" w:hAnsi="Times New Roman" w:cs="Times New Roman"/>
          <w:sz w:val="24"/>
          <w:szCs w:val="24"/>
          <w:lang w:val="en-US"/>
        </w:rPr>
        <w:t xml:space="preserve"> estimation </w:t>
      </w:r>
      <w:r w:rsidR="00A8242B">
        <w:rPr>
          <w:rFonts w:ascii="Times New Roman" w:hAnsi="Times New Roman" w:cs="Times New Roman"/>
          <w:sz w:val="24"/>
          <w:szCs w:val="24"/>
          <w:lang w:val="en-US"/>
        </w:rPr>
        <w:t xml:space="preserve">procedure here </w:t>
      </w:r>
      <w:r w:rsidR="00B213E3">
        <w:rPr>
          <w:rFonts w:ascii="Times New Roman" w:hAnsi="Times New Roman" w:cs="Times New Roman"/>
          <w:sz w:val="24"/>
          <w:szCs w:val="24"/>
          <w:lang w:val="en-US"/>
        </w:rPr>
        <w:t>is constrained by</w:t>
      </w:r>
      <w:r w:rsidR="00A8242B">
        <w:rPr>
          <w:rFonts w:ascii="Times New Roman" w:hAnsi="Times New Roman" w:cs="Times New Roman"/>
          <w:sz w:val="24"/>
          <w:szCs w:val="24"/>
          <w:lang w:val="en-US"/>
        </w:rPr>
        <w:t xml:space="preserve"> both reporting in the </w:t>
      </w:r>
      <w:proofErr w:type="spellStart"/>
      <w:r w:rsidR="00A8242B" w:rsidRPr="00A8242B">
        <w:rPr>
          <w:rFonts w:ascii="Times New Roman" w:hAnsi="Times New Roman" w:cs="Times New Roman"/>
          <w:i/>
          <w:sz w:val="24"/>
          <w:szCs w:val="24"/>
          <w:lang w:val="en-US"/>
        </w:rPr>
        <w:t>Handboek</w:t>
      </w:r>
      <w:proofErr w:type="spellEnd"/>
      <w:r w:rsidR="00A8242B">
        <w:rPr>
          <w:rFonts w:ascii="Times New Roman" w:hAnsi="Times New Roman" w:cs="Times New Roman"/>
          <w:sz w:val="24"/>
          <w:szCs w:val="24"/>
          <w:lang w:val="en-US"/>
        </w:rPr>
        <w:t xml:space="preserve"> and whether or not a firm was listed with a share price quotation at the Amsterdam Stock Exchange. Missing data on dividend rate in the </w:t>
      </w:r>
      <w:proofErr w:type="spellStart"/>
      <w:r w:rsidR="00A8242B" w:rsidRPr="00A8242B">
        <w:rPr>
          <w:rFonts w:ascii="Times New Roman" w:hAnsi="Times New Roman" w:cs="Times New Roman"/>
          <w:i/>
          <w:sz w:val="24"/>
          <w:szCs w:val="24"/>
          <w:lang w:val="en-US"/>
        </w:rPr>
        <w:t>Handboek</w:t>
      </w:r>
      <w:proofErr w:type="spellEnd"/>
      <w:r w:rsidR="00A8242B">
        <w:rPr>
          <w:rFonts w:ascii="Times New Roman" w:hAnsi="Times New Roman" w:cs="Times New Roman"/>
          <w:sz w:val="24"/>
          <w:szCs w:val="24"/>
          <w:lang w:val="en-US"/>
        </w:rPr>
        <w:t xml:space="preserve"> may mean either that zero dividend was paid or that no information was submitted to the compilers of the directory. Our analysis only </w:t>
      </w:r>
      <w:r w:rsidR="003C34C7">
        <w:rPr>
          <w:rFonts w:ascii="Times New Roman" w:hAnsi="Times New Roman" w:cs="Times New Roman"/>
          <w:sz w:val="24"/>
          <w:szCs w:val="24"/>
          <w:lang w:val="en-US"/>
        </w:rPr>
        <w:t>includes</w:t>
      </w:r>
      <w:r w:rsidR="00A8242B">
        <w:rPr>
          <w:rFonts w:ascii="Times New Roman" w:hAnsi="Times New Roman" w:cs="Times New Roman"/>
          <w:sz w:val="24"/>
          <w:szCs w:val="24"/>
          <w:lang w:val="en-US"/>
        </w:rPr>
        <w:t xml:space="preserve"> firms </w:t>
      </w:r>
      <w:r w:rsidR="003C34C7">
        <w:rPr>
          <w:rFonts w:ascii="Times New Roman" w:hAnsi="Times New Roman" w:cs="Times New Roman"/>
          <w:sz w:val="24"/>
          <w:szCs w:val="24"/>
          <w:lang w:val="en-US"/>
        </w:rPr>
        <w:t xml:space="preserve">that </w:t>
      </w:r>
      <w:r w:rsidR="00A8242B">
        <w:rPr>
          <w:rFonts w:ascii="Times New Roman" w:hAnsi="Times New Roman" w:cs="Times New Roman"/>
          <w:sz w:val="24"/>
          <w:szCs w:val="24"/>
          <w:lang w:val="en-US"/>
        </w:rPr>
        <w:t>report</w:t>
      </w:r>
      <w:r w:rsidR="003C34C7">
        <w:rPr>
          <w:rFonts w:ascii="Times New Roman" w:hAnsi="Times New Roman" w:cs="Times New Roman"/>
          <w:sz w:val="24"/>
          <w:szCs w:val="24"/>
          <w:lang w:val="en-US"/>
        </w:rPr>
        <w:t>ed</w:t>
      </w:r>
      <w:r w:rsidR="00A8242B">
        <w:rPr>
          <w:rFonts w:ascii="Times New Roman" w:hAnsi="Times New Roman" w:cs="Times New Roman"/>
          <w:sz w:val="24"/>
          <w:szCs w:val="24"/>
          <w:lang w:val="en-US"/>
        </w:rPr>
        <w:t xml:space="preserve"> a non-zero dividend. The share price refers to common stocks, leaving out preferential stock and other claims. </w:t>
      </w:r>
      <w:r w:rsidR="001D56A7">
        <w:rPr>
          <w:rFonts w:ascii="Times New Roman" w:hAnsi="Times New Roman" w:cs="Times New Roman"/>
          <w:sz w:val="24"/>
          <w:szCs w:val="24"/>
          <w:lang w:val="en-US"/>
        </w:rPr>
        <w:t>On occasion, only the share price of the mother company was available; such was the case with the BPM (</w:t>
      </w:r>
      <w:proofErr w:type="spellStart"/>
      <w:r w:rsidR="001D56A7" w:rsidRPr="001D56A7">
        <w:rPr>
          <w:rFonts w:ascii="Times New Roman" w:hAnsi="Times New Roman" w:cs="Times New Roman"/>
          <w:i/>
          <w:sz w:val="24"/>
          <w:szCs w:val="24"/>
          <w:lang w:val="en-US"/>
        </w:rPr>
        <w:t>Bataafsche</w:t>
      </w:r>
      <w:proofErr w:type="spellEnd"/>
      <w:r w:rsidR="001D56A7" w:rsidRPr="001D56A7">
        <w:rPr>
          <w:rFonts w:ascii="Times New Roman" w:hAnsi="Times New Roman" w:cs="Times New Roman"/>
          <w:i/>
          <w:sz w:val="24"/>
          <w:szCs w:val="24"/>
          <w:lang w:val="en-US"/>
        </w:rPr>
        <w:t xml:space="preserve"> Petroleum </w:t>
      </w:r>
      <w:proofErr w:type="spellStart"/>
      <w:r w:rsidR="001D56A7" w:rsidRPr="001D56A7">
        <w:rPr>
          <w:rFonts w:ascii="Times New Roman" w:hAnsi="Times New Roman" w:cs="Times New Roman"/>
          <w:i/>
          <w:sz w:val="24"/>
          <w:szCs w:val="24"/>
          <w:lang w:val="en-US"/>
        </w:rPr>
        <w:t>Maatschappij</w:t>
      </w:r>
      <w:proofErr w:type="spellEnd"/>
      <w:r w:rsidR="001D56A7">
        <w:rPr>
          <w:rFonts w:ascii="Times New Roman" w:hAnsi="Times New Roman" w:cs="Times New Roman"/>
          <w:sz w:val="24"/>
          <w:szCs w:val="24"/>
          <w:lang w:val="en-US"/>
        </w:rPr>
        <w:t xml:space="preserve">) to which the published share price of Royal Dutch Shell was applied (Van </w:t>
      </w:r>
      <w:proofErr w:type="spellStart"/>
      <w:r w:rsidR="001D56A7">
        <w:rPr>
          <w:rFonts w:ascii="Times New Roman" w:hAnsi="Times New Roman" w:cs="Times New Roman"/>
          <w:sz w:val="24"/>
          <w:szCs w:val="24"/>
          <w:lang w:val="en-US"/>
        </w:rPr>
        <w:t>Zanden</w:t>
      </w:r>
      <w:proofErr w:type="spellEnd"/>
      <w:r w:rsidR="001D56A7">
        <w:rPr>
          <w:rFonts w:ascii="Times New Roman" w:hAnsi="Times New Roman" w:cs="Times New Roman"/>
          <w:sz w:val="24"/>
          <w:szCs w:val="24"/>
          <w:lang w:val="en-US"/>
        </w:rPr>
        <w:t xml:space="preserve"> 2007: 69-70).</w:t>
      </w:r>
    </w:p>
    <w:p w:rsidR="003A274C" w:rsidRDefault="003C34C7" w:rsidP="006D4E48">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A minority</w:t>
      </w:r>
      <w:r w:rsidR="00F056C1">
        <w:rPr>
          <w:rFonts w:ascii="Times New Roman" w:hAnsi="Times New Roman" w:cs="Times New Roman"/>
          <w:sz w:val="24"/>
          <w:szCs w:val="24"/>
          <w:lang w:val="en-US"/>
        </w:rPr>
        <w:t xml:space="preserve"> of Dutch firms listed in the </w:t>
      </w:r>
      <w:proofErr w:type="spellStart"/>
      <w:r w:rsidR="00F056C1" w:rsidRPr="00F056C1">
        <w:rPr>
          <w:rFonts w:ascii="Times New Roman" w:hAnsi="Times New Roman" w:cs="Times New Roman"/>
          <w:i/>
          <w:sz w:val="24"/>
          <w:szCs w:val="24"/>
          <w:lang w:val="en-US"/>
        </w:rPr>
        <w:t>Handboek</w:t>
      </w:r>
      <w:proofErr w:type="spellEnd"/>
      <w:r w:rsidR="00F056C1">
        <w:rPr>
          <w:rFonts w:ascii="Times New Roman" w:hAnsi="Times New Roman" w:cs="Times New Roman"/>
          <w:sz w:val="24"/>
          <w:szCs w:val="24"/>
          <w:lang w:val="en-US"/>
        </w:rPr>
        <w:t xml:space="preserve"> stated a non-zero dividend rate (Table 1). On several occasions, in 1910, 1920, 1930 and 1940, these firms represented 15-20 per cent of all companies included in the </w:t>
      </w:r>
      <w:proofErr w:type="spellStart"/>
      <w:r w:rsidR="00F056C1" w:rsidRPr="00F056C1">
        <w:rPr>
          <w:rFonts w:ascii="Times New Roman" w:hAnsi="Times New Roman" w:cs="Times New Roman"/>
          <w:i/>
          <w:sz w:val="24"/>
          <w:szCs w:val="24"/>
          <w:lang w:val="en-US"/>
        </w:rPr>
        <w:t>Handboek</w:t>
      </w:r>
      <w:proofErr w:type="spellEnd"/>
      <w:r w:rsidR="006D4E48">
        <w:rPr>
          <w:rFonts w:ascii="Times New Roman" w:hAnsi="Times New Roman" w:cs="Times New Roman"/>
          <w:i/>
          <w:sz w:val="24"/>
          <w:szCs w:val="24"/>
          <w:lang w:val="en-US"/>
        </w:rPr>
        <w:t xml:space="preserve">. </w:t>
      </w:r>
      <w:r w:rsidR="006D4E48">
        <w:rPr>
          <w:rFonts w:ascii="Times New Roman" w:hAnsi="Times New Roman" w:cs="Times New Roman"/>
          <w:sz w:val="24"/>
          <w:szCs w:val="24"/>
          <w:lang w:val="en-US"/>
        </w:rPr>
        <w:t xml:space="preserve">At other times, notably in 1925 and 1935, their proportion in the total was barely more than 10 per cent. Out of the Dutch firms reporting dividends in the first place, only between </w:t>
      </w:r>
      <w:r w:rsidR="006D4E48">
        <w:rPr>
          <w:rFonts w:ascii="Times New Roman" w:hAnsi="Times New Roman" w:cs="Times New Roman"/>
          <w:sz w:val="24"/>
          <w:szCs w:val="24"/>
          <w:lang w:val="en-US"/>
        </w:rPr>
        <w:lastRenderedPageBreak/>
        <w:t>18 and 2</w:t>
      </w:r>
      <w:r>
        <w:rPr>
          <w:rFonts w:ascii="Times New Roman" w:hAnsi="Times New Roman" w:cs="Times New Roman"/>
          <w:sz w:val="24"/>
          <w:szCs w:val="24"/>
          <w:lang w:val="en-US"/>
        </w:rPr>
        <w:t>9</w:t>
      </w:r>
      <w:r w:rsidR="006D4E48">
        <w:rPr>
          <w:rFonts w:ascii="Times New Roman" w:hAnsi="Times New Roman" w:cs="Times New Roman"/>
          <w:sz w:val="24"/>
          <w:szCs w:val="24"/>
          <w:lang w:val="en-US"/>
        </w:rPr>
        <w:t xml:space="preserve"> per cent had a listing on the Amsterdam Stock Exchange. The highest proportion was in 19</w:t>
      </w:r>
      <w:r>
        <w:rPr>
          <w:rFonts w:ascii="Times New Roman" w:hAnsi="Times New Roman" w:cs="Times New Roman"/>
          <w:sz w:val="24"/>
          <w:szCs w:val="24"/>
          <w:lang w:val="en-US"/>
        </w:rPr>
        <w:t>30</w:t>
      </w:r>
      <w:r w:rsidR="006D4E48">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t>
      </w:r>
      <w:r w:rsidR="006D4E48">
        <w:rPr>
          <w:rFonts w:ascii="Times New Roman" w:hAnsi="Times New Roman" w:cs="Times New Roman"/>
          <w:sz w:val="24"/>
          <w:szCs w:val="24"/>
          <w:lang w:val="en-US"/>
        </w:rPr>
        <w:t xml:space="preserve">the lowest one in 1910. </w:t>
      </w:r>
      <w:r w:rsidR="003A274C">
        <w:rPr>
          <w:rFonts w:ascii="Times New Roman" w:hAnsi="Times New Roman" w:cs="Times New Roman"/>
          <w:sz w:val="24"/>
          <w:szCs w:val="24"/>
          <w:lang w:val="en-US"/>
        </w:rPr>
        <w:t xml:space="preserve">Our selection procedure generates </w:t>
      </w:r>
      <w:r w:rsidR="006D4E48">
        <w:rPr>
          <w:rFonts w:ascii="Times New Roman" w:hAnsi="Times New Roman" w:cs="Times New Roman"/>
          <w:sz w:val="24"/>
          <w:szCs w:val="24"/>
          <w:lang w:val="en-US"/>
        </w:rPr>
        <w:t xml:space="preserve">a sample </w:t>
      </w:r>
      <w:r w:rsidR="003A274C">
        <w:rPr>
          <w:rFonts w:ascii="Times New Roman" w:hAnsi="Times New Roman" w:cs="Times New Roman"/>
          <w:sz w:val="24"/>
          <w:szCs w:val="24"/>
          <w:lang w:val="en-US"/>
        </w:rPr>
        <w:t xml:space="preserve">of firms that varied considerably in size </w:t>
      </w:r>
      <w:r w:rsidR="006D4E48">
        <w:rPr>
          <w:rFonts w:ascii="Times New Roman" w:hAnsi="Times New Roman" w:cs="Times New Roman"/>
          <w:sz w:val="24"/>
          <w:szCs w:val="24"/>
          <w:lang w:val="en-US"/>
        </w:rPr>
        <w:t xml:space="preserve">over time, ranging from only 38 firms in 1935 to </w:t>
      </w:r>
      <w:r>
        <w:rPr>
          <w:rFonts w:ascii="Times New Roman" w:hAnsi="Times New Roman" w:cs="Times New Roman"/>
          <w:sz w:val="24"/>
          <w:szCs w:val="24"/>
          <w:lang w:val="en-US"/>
        </w:rPr>
        <w:t xml:space="preserve">140 </w:t>
      </w:r>
      <w:r w:rsidR="006D4E48">
        <w:rPr>
          <w:rFonts w:ascii="Times New Roman" w:hAnsi="Times New Roman" w:cs="Times New Roman"/>
          <w:sz w:val="24"/>
          <w:szCs w:val="24"/>
          <w:lang w:val="en-US"/>
        </w:rPr>
        <w:t>in 19</w:t>
      </w:r>
      <w:r>
        <w:rPr>
          <w:rFonts w:ascii="Times New Roman" w:hAnsi="Times New Roman" w:cs="Times New Roman"/>
          <w:sz w:val="24"/>
          <w:szCs w:val="24"/>
          <w:lang w:val="en-US"/>
        </w:rPr>
        <w:t>30</w:t>
      </w:r>
      <w:r w:rsidR="006D4E48">
        <w:rPr>
          <w:rFonts w:ascii="Times New Roman" w:hAnsi="Times New Roman" w:cs="Times New Roman"/>
          <w:sz w:val="24"/>
          <w:szCs w:val="24"/>
          <w:lang w:val="en-US"/>
        </w:rPr>
        <w:t>.</w:t>
      </w:r>
    </w:p>
    <w:p w:rsidR="002306DE" w:rsidRDefault="003A274C" w:rsidP="006D4E48">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sample represents a skewed selection of colonial enterprises </w:t>
      </w:r>
      <w:r w:rsidRPr="003A274C">
        <w:rPr>
          <w:rFonts w:ascii="Times New Roman" w:hAnsi="Times New Roman" w:cs="Times New Roman"/>
          <w:sz w:val="24"/>
          <w:szCs w:val="24"/>
          <w:lang w:val="en-GB"/>
        </w:rPr>
        <w:t>favouring</w:t>
      </w:r>
      <w:r>
        <w:rPr>
          <w:rFonts w:ascii="Times New Roman" w:hAnsi="Times New Roman" w:cs="Times New Roman"/>
          <w:sz w:val="24"/>
          <w:szCs w:val="24"/>
          <w:lang w:val="en-US"/>
        </w:rPr>
        <w:t xml:space="preserve"> firm size and substantial capital commitments. </w:t>
      </w:r>
      <w:r w:rsidR="001D6663">
        <w:rPr>
          <w:rFonts w:ascii="Times New Roman" w:hAnsi="Times New Roman" w:cs="Times New Roman"/>
          <w:sz w:val="24"/>
          <w:szCs w:val="24"/>
          <w:lang w:val="en-US"/>
        </w:rPr>
        <w:t xml:space="preserve">Average equity of the firms included in the sample neared 10 million guilders in 1915 and rose to about 16 million guilders by 1925. Their combined equity climbed above one billion guilders in 1925 and amounted to a staggering 1.5 billion guilders in both 1930 and 1940. </w:t>
      </w:r>
      <w:r w:rsidR="002306DE">
        <w:rPr>
          <w:rFonts w:ascii="Times New Roman" w:hAnsi="Times New Roman" w:cs="Times New Roman"/>
          <w:sz w:val="24"/>
          <w:szCs w:val="24"/>
          <w:lang w:val="en-US"/>
        </w:rPr>
        <w:t>Compared to their numbers</w:t>
      </w:r>
      <w:r w:rsidR="001D6663">
        <w:rPr>
          <w:rFonts w:ascii="Times New Roman" w:hAnsi="Times New Roman" w:cs="Times New Roman"/>
          <w:sz w:val="24"/>
          <w:szCs w:val="24"/>
          <w:lang w:val="en-US"/>
        </w:rPr>
        <w:t xml:space="preserve">, these firms represented a disproportionately large share of </w:t>
      </w:r>
      <w:r w:rsidR="002306DE">
        <w:rPr>
          <w:rFonts w:ascii="Times New Roman" w:hAnsi="Times New Roman" w:cs="Times New Roman"/>
          <w:sz w:val="24"/>
          <w:szCs w:val="24"/>
          <w:lang w:val="en-US"/>
        </w:rPr>
        <w:t xml:space="preserve">the </w:t>
      </w:r>
      <w:r w:rsidR="001D6663">
        <w:rPr>
          <w:rFonts w:ascii="Times New Roman" w:hAnsi="Times New Roman" w:cs="Times New Roman"/>
          <w:sz w:val="24"/>
          <w:szCs w:val="24"/>
          <w:lang w:val="en-US"/>
        </w:rPr>
        <w:t xml:space="preserve">corporate </w:t>
      </w:r>
      <w:r w:rsidR="002306DE">
        <w:rPr>
          <w:rFonts w:ascii="Times New Roman" w:hAnsi="Times New Roman" w:cs="Times New Roman"/>
          <w:sz w:val="24"/>
          <w:szCs w:val="24"/>
          <w:lang w:val="en-US"/>
        </w:rPr>
        <w:t xml:space="preserve">world of </w:t>
      </w:r>
      <w:r w:rsidR="001D6663">
        <w:rPr>
          <w:rFonts w:ascii="Times New Roman" w:hAnsi="Times New Roman" w:cs="Times New Roman"/>
          <w:sz w:val="24"/>
          <w:szCs w:val="24"/>
          <w:lang w:val="en-US"/>
        </w:rPr>
        <w:t xml:space="preserve">business </w:t>
      </w:r>
      <w:r w:rsidR="002306DE">
        <w:rPr>
          <w:rFonts w:ascii="Times New Roman" w:hAnsi="Times New Roman" w:cs="Times New Roman"/>
          <w:sz w:val="24"/>
          <w:szCs w:val="24"/>
          <w:lang w:val="en-US"/>
        </w:rPr>
        <w:t>in colonial Indonesia</w:t>
      </w:r>
      <w:r w:rsidR="001D6663">
        <w:rPr>
          <w:rFonts w:ascii="Times New Roman" w:hAnsi="Times New Roman" w:cs="Times New Roman"/>
          <w:sz w:val="24"/>
          <w:szCs w:val="24"/>
          <w:lang w:val="en-US"/>
        </w:rPr>
        <w:t>.</w:t>
      </w:r>
    </w:p>
    <w:p w:rsidR="002306DE" w:rsidRDefault="002306DE" w:rsidP="006D4E48">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For various reasons, our exploration of rates of return focuses on Dutch-owned firms. Firms with headquarters in the Netherlands were generally larger than those man</w:t>
      </w:r>
      <w:r w:rsidR="001F0954">
        <w:rPr>
          <w:rFonts w:ascii="Times New Roman" w:hAnsi="Times New Roman" w:cs="Times New Roman"/>
          <w:sz w:val="24"/>
          <w:szCs w:val="24"/>
          <w:lang w:val="en-US"/>
        </w:rPr>
        <w:t xml:space="preserve">aged from a head office in the colony. Dutch firms were the most likely to report dividends, whereas firms of a non-Dutch foreign nationality and Chinese firms rarely did so. Dutch firms were obviously also more likely to be listed on the Amsterdam Stock Exchange. In a wider context, we are in particular interested in the relationship between private profit and colonial rule, which again puts stress on the presence of Dutch companies in colonial Indonesia. </w:t>
      </w:r>
    </w:p>
    <w:p w:rsidR="00D14E5F" w:rsidRDefault="007A0489" w:rsidP="006D4E48">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preliminary step </w:t>
      </w:r>
      <w:r w:rsidR="001F0954">
        <w:rPr>
          <w:rFonts w:ascii="Times New Roman" w:hAnsi="Times New Roman" w:cs="Times New Roman"/>
          <w:sz w:val="24"/>
          <w:szCs w:val="24"/>
          <w:lang w:val="en-US"/>
        </w:rPr>
        <w:t xml:space="preserve">in our exploration is to calculate crude dividend rates based on </w:t>
      </w:r>
      <w:r>
        <w:rPr>
          <w:rFonts w:ascii="Times New Roman" w:hAnsi="Times New Roman" w:cs="Times New Roman"/>
          <w:sz w:val="24"/>
          <w:szCs w:val="24"/>
          <w:lang w:val="en-US"/>
        </w:rPr>
        <w:t xml:space="preserve">the nominal value of </w:t>
      </w:r>
      <w:r w:rsidR="001F0954">
        <w:rPr>
          <w:rFonts w:ascii="Times New Roman" w:hAnsi="Times New Roman" w:cs="Times New Roman"/>
          <w:sz w:val="24"/>
          <w:szCs w:val="24"/>
          <w:lang w:val="en-US"/>
        </w:rPr>
        <w:t>equity</w:t>
      </w:r>
      <w:r>
        <w:rPr>
          <w:rFonts w:ascii="Times New Roman" w:hAnsi="Times New Roman" w:cs="Times New Roman"/>
          <w:sz w:val="24"/>
          <w:szCs w:val="24"/>
          <w:lang w:val="en-US"/>
        </w:rPr>
        <w:t>. Th</w:t>
      </w:r>
      <w:r w:rsidR="00B76F29">
        <w:rPr>
          <w:rFonts w:ascii="Times New Roman" w:hAnsi="Times New Roman" w:cs="Times New Roman"/>
          <w:sz w:val="24"/>
          <w:szCs w:val="24"/>
          <w:lang w:val="en-US"/>
        </w:rPr>
        <w:t xml:space="preserve">is can be done for </w:t>
      </w:r>
      <w:r w:rsidR="00F716B8">
        <w:rPr>
          <w:rFonts w:ascii="Times New Roman" w:hAnsi="Times New Roman" w:cs="Times New Roman"/>
          <w:sz w:val="24"/>
          <w:szCs w:val="24"/>
          <w:lang w:val="en-US"/>
        </w:rPr>
        <w:t xml:space="preserve">the entire population of </w:t>
      </w:r>
      <w:r>
        <w:rPr>
          <w:rFonts w:ascii="Times New Roman" w:hAnsi="Times New Roman" w:cs="Times New Roman"/>
          <w:sz w:val="24"/>
          <w:szCs w:val="24"/>
          <w:lang w:val="en-US"/>
        </w:rPr>
        <w:t>Dutch-owned firms reporting non-zero dividends</w:t>
      </w:r>
      <w:r w:rsidR="00B76F29">
        <w:rPr>
          <w:rFonts w:ascii="Times New Roman" w:hAnsi="Times New Roman" w:cs="Times New Roman"/>
          <w:sz w:val="24"/>
          <w:szCs w:val="24"/>
          <w:lang w:val="en-US"/>
        </w:rPr>
        <w:t>. The average rate</w:t>
      </w:r>
      <w:r>
        <w:rPr>
          <w:rFonts w:ascii="Times New Roman" w:hAnsi="Times New Roman" w:cs="Times New Roman"/>
          <w:sz w:val="24"/>
          <w:szCs w:val="24"/>
          <w:lang w:val="en-US"/>
        </w:rPr>
        <w:t xml:space="preserve"> </w:t>
      </w:r>
      <w:r w:rsidR="00D14E5F">
        <w:rPr>
          <w:rFonts w:ascii="Times New Roman" w:hAnsi="Times New Roman" w:cs="Times New Roman"/>
          <w:sz w:val="24"/>
          <w:szCs w:val="24"/>
          <w:lang w:val="en-US"/>
        </w:rPr>
        <w:t xml:space="preserve">was </w:t>
      </w:r>
      <w:r w:rsidR="00B76F29">
        <w:rPr>
          <w:rFonts w:ascii="Times New Roman" w:hAnsi="Times New Roman" w:cs="Times New Roman"/>
          <w:sz w:val="24"/>
          <w:szCs w:val="24"/>
          <w:lang w:val="en-US"/>
        </w:rPr>
        <w:t>around 14</w:t>
      </w:r>
      <w:r w:rsidR="00F716B8">
        <w:rPr>
          <w:rFonts w:ascii="Times New Roman" w:hAnsi="Times New Roman" w:cs="Times New Roman"/>
          <w:sz w:val="24"/>
          <w:szCs w:val="24"/>
          <w:lang w:val="en-US"/>
        </w:rPr>
        <w:t xml:space="preserve"> </w:t>
      </w:r>
      <w:r w:rsidR="00D14E5F">
        <w:rPr>
          <w:rFonts w:ascii="Times New Roman" w:hAnsi="Times New Roman" w:cs="Times New Roman"/>
          <w:sz w:val="24"/>
          <w:szCs w:val="24"/>
          <w:lang w:val="en-US"/>
        </w:rPr>
        <w:t xml:space="preserve">per cent in 1910 and 1915, </w:t>
      </w:r>
      <w:r w:rsidR="00B76F29">
        <w:rPr>
          <w:rFonts w:ascii="Times New Roman" w:hAnsi="Times New Roman" w:cs="Times New Roman"/>
          <w:sz w:val="24"/>
          <w:szCs w:val="24"/>
          <w:lang w:val="en-US"/>
        </w:rPr>
        <w:t xml:space="preserve">then </w:t>
      </w:r>
      <w:r w:rsidR="00D14E5F">
        <w:rPr>
          <w:rFonts w:ascii="Times New Roman" w:hAnsi="Times New Roman" w:cs="Times New Roman"/>
          <w:sz w:val="24"/>
          <w:szCs w:val="24"/>
          <w:lang w:val="en-US"/>
        </w:rPr>
        <w:t xml:space="preserve">rose to </w:t>
      </w:r>
      <w:r w:rsidR="00B76F29">
        <w:rPr>
          <w:rFonts w:ascii="Times New Roman" w:hAnsi="Times New Roman" w:cs="Times New Roman"/>
          <w:sz w:val="24"/>
          <w:szCs w:val="24"/>
          <w:lang w:val="en-US"/>
        </w:rPr>
        <w:t xml:space="preserve">about </w:t>
      </w:r>
      <w:r w:rsidR="00D14E5F">
        <w:rPr>
          <w:rFonts w:ascii="Times New Roman" w:hAnsi="Times New Roman" w:cs="Times New Roman"/>
          <w:sz w:val="24"/>
          <w:szCs w:val="24"/>
          <w:lang w:val="en-US"/>
        </w:rPr>
        <w:t xml:space="preserve">18 per cent in 1920, 1925 and 1930, </w:t>
      </w:r>
      <w:r w:rsidR="00B76F29">
        <w:rPr>
          <w:rFonts w:ascii="Times New Roman" w:hAnsi="Times New Roman" w:cs="Times New Roman"/>
          <w:sz w:val="24"/>
          <w:szCs w:val="24"/>
          <w:lang w:val="en-US"/>
        </w:rPr>
        <w:t>whilst falling to a level of some 10 per</w:t>
      </w:r>
      <w:r w:rsidR="00F716B8">
        <w:rPr>
          <w:rFonts w:ascii="Times New Roman" w:hAnsi="Times New Roman" w:cs="Times New Roman"/>
          <w:sz w:val="24"/>
          <w:szCs w:val="24"/>
          <w:lang w:val="en-US"/>
        </w:rPr>
        <w:t xml:space="preserve"> cent in</w:t>
      </w:r>
      <w:r w:rsidR="00D14E5F">
        <w:rPr>
          <w:rFonts w:ascii="Times New Roman" w:hAnsi="Times New Roman" w:cs="Times New Roman"/>
          <w:sz w:val="24"/>
          <w:szCs w:val="24"/>
          <w:lang w:val="en-US"/>
        </w:rPr>
        <w:t xml:space="preserve"> 1935 and 1940. </w:t>
      </w:r>
      <w:r w:rsidR="00B76F29">
        <w:rPr>
          <w:rFonts w:ascii="Times New Roman" w:hAnsi="Times New Roman" w:cs="Times New Roman"/>
          <w:sz w:val="24"/>
          <w:szCs w:val="24"/>
          <w:lang w:val="en-US"/>
        </w:rPr>
        <w:t>The pattern observed for all dividend-reporting Dutch firms is by and large replicated in the smaller sample of firms that were also listed on the Amsterdam stock exchange. The</w:t>
      </w:r>
      <w:r w:rsidR="00C44A0B">
        <w:rPr>
          <w:rFonts w:ascii="Times New Roman" w:hAnsi="Times New Roman" w:cs="Times New Roman"/>
          <w:sz w:val="24"/>
          <w:szCs w:val="24"/>
          <w:lang w:val="en-US"/>
        </w:rPr>
        <w:t xml:space="preserve"> average rate in the sample climbed </w:t>
      </w:r>
      <w:r w:rsidR="00B76F29">
        <w:rPr>
          <w:rFonts w:ascii="Times New Roman" w:hAnsi="Times New Roman" w:cs="Times New Roman"/>
          <w:sz w:val="24"/>
          <w:szCs w:val="24"/>
          <w:lang w:val="en-US"/>
        </w:rPr>
        <w:t xml:space="preserve">from </w:t>
      </w:r>
      <w:r w:rsidR="00C44A0B">
        <w:rPr>
          <w:rFonts w:ascii="Times New Roman" w:hAnsi="Times New Roman" w:cs="Times New Roman"/>
          <w:sz w:val="24"/>
          <w:szCs w:val="24"/>
          <w:lang w:val="en-US"/>
        </w:rPr>
        <w:t xml:space="preserve">about 12 </w:t>
      </w:r>
      <w:r w:rsidR="00B76F29">
        <w:rPr>
          <w:rFonts w:ascii="Times New Roman" w:hAnsi="Times New Roman" w:cs="Times New Roman"/>
          <w:sz w:val="24"/>
          <w:szCs w:val="24"/>
          <w:lang w:val="en-US"/>
        </w:rPr>
        <w:t>per cent in 1910 and 1915 to 18 per cent in 1920, 1925 and 1930, and a final drop to 9 per cent in 1935 and 1940.</w:t>
      </w:r>
      <w:r w:rsidR="00C44A0B" w:rsidRPr="00C44A0B">
        <w:rPr>
          <w:rFonts w:ascii="Times New Roman" w:hAnsi="Times New Roman" w:cs="Times New Roman"/>
          <w:sz w:val="24"/>
          <w:szCs w:val="24"/>
          <w:lang w:val="en-US"/>
        </w:rPr>
        <w:t xml:space="preserve"> </w:t>
      </w:r>
      <w:r w:rsidR="00C44A0B">
        <w:rPr>
          <w:rFonts w:ascii="Times New Roman" w:hAnsi="Times New Roman" w:cs="Times New Roman"/>
          <w:sz w:val="24"/>
          <w:szCs w:val="24"/>
          <w:lang w:val="en-US"/>
        </w:rPr>
        <w:t xml:space="preserve">These are impressive averages considering the expected standard return of 6 per cent on common stock. Yet, although they neatly portray the changing business cycles during the 1910s, 1920s and 1930s, they are misleadingly high. The calculation leaves out all firms failing to pay out a dividend in the first place and these rates of return are not adjusted for changes in equity value.  </w:t>
      </w:r>
      <w:r w:rsidR="00B76F29">
        <w:rPr>
          <w:rFonts w:ascii="Times New Roman" w:hAnsi="Times New Roman" w:cs="Times New Roman"/>
          <w:sz w:val="24"/>
          <w:szCs w:val="24"/>
          <w:lang w:val="en-US"/>
        </w:rPr>
        <w:t xml:space="preserve"> </w:t>
      </w:r>
      <w:r w:rsidR="00F716B8">
        <w:rPr>
          <w:rFonts w:ascii="Times New Roman" w:hAnsi="Times New Roman" w:cs="Times New Roman"/>
          <w:sz w:val="24"/>
          <w:szCs w:val="24"/>
          <w:lang w:val="en-US"/>
        </w:rPr>
        <w:t xml:space="preserve">  </w:t>
      </w:r>
    </w:p>
    <w:p w:rsidR="002C4E99" w:rsidRDefault="00245F93" w:rsidP="006D4E48">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F716B8">
        <w:rPr>
          <w:rFonts w:ascii="Times New Roman" w:hAnsi="Times New Roman" w:cs="Times New Roman"/>
          <w:sz w:val="24"/>
          <w:szCs w:val="24"/>
          <w:lang w:val="en-US"/>
        </w:rPr>
        <w:t xml:space="preserve">ividend rates in </w:t>
      </w:r>
      <w:r w:rsidR="00C44A0B">
        <w:rPr>
          <w:rFonts w:ascii="Times New Roman" w:hAnsi="Times New Roman" w:cs="Times New Roman"/>
          <w:sz w:val="24"/>
          <w:szCs w:val="24"/>
          <w:lang w:val="en-US"/>
        </w:rPr>
        <w:t>our</w:t>
      </w:r>
      <w:r w:rsidR="00F716B8">
        <w:rPr>
          <w:rFonts w:ascii="Times New Roman" w:hAnsi="Times New Roman" w:cs="Times New Roman"/>
          <w:sz w:val="24"/>
          <w:szCs w:val="24"/>
          <w:lang w:val="en-US"/>
        </w:rPr>
        <w:t xml:space="preserve"> select</w:t>
      </w:r>
      <w:r w:rsidR="00C44A0B">
        <w:rPr>
          <w:rFonts w:ascii="Times New Roman" w:hAnsi="Times New Roman" w:cs="Times New Roman"/>
          <w:sz w:val="24"/>
          <w:szCs w:val="24"/>
          <w:lang w:val="en-US"/>
        </w:rPr>
        <w:t xml:space="preserve">ion </w:t>
      </w:r>
      <w:r w:rsidR="00F716B8">
        <w:rPr>
          <w:rFonts w:ascii="Times New Roman" w:hAnsi="Times New Roman" w:cs="Times New Roman"/>
          <w:sz w:val="24"/>
          <w:szCs w:val="24"/>
          <w:lang w:val="en-US"/>
        </w:rPr>
        <w:t xml:space="preserve">of Dutch </w:t>
      </w:r>
      <w:r w:rsidR="00C44A0B">
        <w:rPr>
          <w:rFonts w:ascii="Times New Roman" w:hAnsi="Times New Roman" w:cs="Times New Roman"/>
          <w:sz w:val="24"/>
          <w:szCs w:val="24"/>
          <w:lang w:val="en-US"/>
        </w:rPr>
        <w:t xml:space="preserve">colonial </w:t>
      </w:r>
      <w:r w:rsidR="00F716B8">
        <w:rPr>
          <w:rFonts w:ascii="Times New Roman" w:hAnsi="Times New Roman" w:cs="Times New Roman"/>
          <w:sz w:val="24"/>
          <w:szCs w:val="24"/>
          <w:lang w:val="en-US"/>
        </w:rPr>
        <w:t xml:space="preserve">firms </w:t>
      </w:r>
      <w:r>
        <w:rPr>
          <w:rFonts w:ascii="Times New Roman" w:hAnsi="Times New Roman" w:cs="Times New Roman"/>
          <w:sz w:val="24"/>
          <w:szCs w:val="24"/>
          <w:lang w:val="en-US"/>
        </w:rPr>
        <w:t xml:space="preserve">by and large </w:t>
      </w:r>
      <w:r w:rsidR="00C44A0B">
        <w:rPr>
          <w:rFonts w:ascii="Times New Roman" w:hAnsi="Times New Roman" w:cs="Times New Roman"/>
          <w:sz w:val="24"/>
          <w:szCs w:val="24"/>
          <w:lang w:val="en-US"/>
        </w:rPr>
        <w:t xml:space="preserve">generally lower </w:t>
      </w:r>
      <w:r w:rsidR="00F716B8">
        <w:rPr>
          <w:rFonts w:ascii="Times New Roman" w:hAnsi="Times New Roman" w:cs="Times New Roman"/>
          <w:sz w:val="24"/>
          <w:szCs w:val="24"/>
          <w:lang w:val="en-US"/>
        </w:rPr>
        <w:t>when adjusted for change</w:t>
      </w:r>
      <w:r w:rsidR="00C44A0B">
        <w:rPr>
          <w:rFonts w:ascii="Times New Roman" w:hAnsi="Times New Roman" w:cs="Times New Roman"/>
          <w:sz w:val="24"/>
          <w:szCs w:val="24"/>
          <w:lang w:val="en-US"/>
        </w:rPr>
        <w:t>s</w:t>
      </w:r>
      <w:r w:rsidR="00F716B8">
        <w:rPr>
          <w:rFonts w:ascii="Times New Roman" w:hAnsi="Times New Roman" w:cs="Times New Roman"/>
          <w:sz w:val="24"/>
          <w:szCs w:val="24"/>
          <w:lang w:val="en-US"/>
        </w:rPr>
        <w:t xml:space="preserve"> in </w:t>
      </w:r>
      <w:r w:rsidR="00C44A0B">
        <w:rPr>
          <w:rFonts w:ascii="Times New Roman" w:hAnsi="Times New Roman" w:cs="Times New Roman"/>
          <w:sz w:val="24"/>
          <w:szCs w:val="24"/>
          <w:lang w:val="en-US"/>
        </w:rPr>
        <w:t xml:space="preserve">the value of </w:t>
      </w:r>
      <w:r w:rsidR="00CE28BC">
        <w:rPr>
          <w:rFonts w:ascii="Times New Roman" w:hAnsi="Times New Roman" w:cs="Times New Roman"/>
          <w:sz w:val="24"/>
          <w:szCs w:val="24"/>
          <w:lang w:val="en-US"/>
        </w:rPr>
        <w:t xml:space="preserve">equity </w:t>
      </w:r>
      <w:r w:rsidR="00F716B8">
        <w:rPr>
          <w:rFonts w:ascii="Times New Roman" w:hAnsi="Times New Roman" w:cs="Times New Roman"/>
          <w:sz w:val="24"/>
          <w:szCs w:val="24"/>
          <w:lang w:val="en-US"/>
        </w:rPr>
        <w:t>(Figure 2).</w:t>
      </w:r>
      <w:r w:rsidR="00CE28BC">
        <w:rPr>
          <w:rFonts w:ascii="Times New Roman" w:hAnsi="Times New Roman" w:cs="Times New Roman"/>
          <w:sz w:val="24"/>
          <w:szCs w:val="24"/>
          <w:lang w:val="en-US"/>
        </w:rPr>
        <w:t xml:space="preserve"> </w:t>
      </w:r>
      <w:r>
        <w:rPr>
          <w:rFonts w:ascii="Times New Roman" w:hAnsi="Times New Roman" w:cs="Times New Roman"/>
          <w:sz w:val="24"/>
          <w:szCs w:val="24"/>
          <w:lang w:val="en-US"/>
        </w:rPr>
        <w:t>The a</w:t>
      </w:r>
      <w:r w:rsidR="00C44A0B">
        <w:rPr>
          <w:rFonts w:ascii="Times New Roman" w:hAnsi="Times New Roman" w:cs="Times New Roman"/>
          <w:sz w:val="24"/>
          <w:szCs w:val="24"/>
          <w:lang w:val="en-US"/>
        </w:rPr>
        <w:t xml:space="preserve">verage </w:t>
      </w:r>
      <w:r>
        <w:rPr>
          <w:rFonts w:ascii="Times New Roman" w:hAnsi="Times New Roman" w:cs="Times New Roman"/>
          <w:sz w:val="24"/>
          <w:szCs w:val="24"/>
          <w:lang w:val="en-US"/>
        </w:rPr>
        <w:t xml:space="preserve">rate dropped from a level at </w:t>
      </w:r>
      <w:r w:rsidR="00C44A0B">
        <w:rPr>
          <w:rFonts w:ascii="Times New Roman" w:hAnsi="Times New Roman" w:cs="Times New Roman"/>
          <w:sz w:val="24"/>
          <w:szCs w:val="24"/>
          <w:lang w:val="en-US"/>
        </w:rPr>
        <w:t xml:space="preserve">8-11 per cent in 1910 and 1915 to </w:t>
      </w:r>
      <w:r>
        <w:rPr>
          <w:rFonts w:ascii="Times New Roman" w:hAnsi="Times New Roman" w:cs="Times New Roman"/>
          <w:sz w:val="24"/>
          <w:szCs w:val="24"/>
          <w:lang w:val="en-US"/>
        </w:rPr>
        <w:t xml:space="preserve">scarcely more than 7 per cent in 1920 and 1925. High nominal returns were offset by rising share prices in the booming stock market during the immediate aftermath of the First World War and most of the 1920s. A weaker stock market at the inception of the worldwide depression resulted in less </w:t>
      </w:r>
      <w:r>
        <w:rPr>
          <w:rFonts w:ascii="Times New Roman" w:hAnsi="Times New Roman" w:cs="Times New Roman"/>
          <w:sz w:val="24"/>
          <w:szCs w:val="24"/>
          <w:lang w:val="en-US"/>
        </w:rPr>
        <w:lastRenderedPageBreak/>
        <w:t xml:space="preserve">adjustment of the nominal rate; as a result the unadjusted average in 1930 was strikingly high at nearly 13 per cent. The worldwide depression brought a steep fall in share prices and by 1935 the adjusted dividend rates barely differed from the unadjusted one. </w:t>
      </w:r>
      <w:r w:rsidR="002C4E99">
        <w:rPr>
          <w:rFonts w:ascii="Times New Roman" w:hAnsi="Times New Roman" w:cs="Times New Roman"/>
          <w:sz w:val="24"/>
          <w:szCs w:val="24"/>
          <w:lang w:val="en-US"/>
        </w:rPr>
        <w:t>Recovery in both stock markets and the real economy during the late 1930s fostered a return to the situation in which adjusted rates were substantially lower than the nominal ones.</w:t>
      </w:r>
    </w:p>
    <w:p w:rsidR="00DF6F4A" w:rsidRDefault="00DF6F4A" w:rsidP="006D4E48">
      <w:pPr>
        <w:spacing w:line="360" w:lineRule="auto"/>
        <w:ind w:firstLine="284"/>
        <w:jc w:val="both"/>
        <w:rPr>
          <w:rFonts w:ascii="Times New Roman" w:hAnsi="Times New Roman" w:cs="Times New Roman"/>
          <w:sz w:val="24"/>
          <w:szCs w:val="24"/>
          <w:lang w:val="en-US"/>
        </w:rPr>
      </w:pPr>
    </w:p>
    <w:p w:rsidR="00DF6F4A" w:rsidRPr="00DF6F4A" w:rsidRDefault="00DF6F4A" w:rsidP="00DF6F4A">
      <w:pPr>
        <w:spacing w:line="360" w:lineRule="auto"/>
        <w:jc w:val="both"/>
        <w:rPr>
          <w:rFonts w:ascii="Times New Roman" w:hAnsi="Times New Roman" w:cs="Times New Roman"/>
          <w:b/>
          <w:sz w:val="24"/>
          <w:szCs w:val="24"/>
          <w:lang w:val="en-US"/>
        </w:rPr>
      </w:pPr>
      <w:r w:rsidRPr="00DF6F4A">
        <w:rPr>
          <w:rFonts w:ascii="Times New Roman" w:hAnsi="Times New Roman" w:cs="Times New Roman"/>
          <w:b/>
          <w:sz w:val="24"/>
          <w:szCs w:val="24"/>
          <w:lang w:val="en-US"/>
        </w:rPr>
        <w:t>Interpretation</w:t>
      </w:r>
    </w:p>
    <w:p w:rsidR="00D34692" w:rsidRDefault="002C4E99" w:rsidP="00DF6F4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interpreting the observed trend in nominal and adjusted dividend rates, it is again instructive to compare outcomes with the 6 per cent dividend rate considered normal by standards prevailing among investors in the Netherlands. In six out of the seven years examined, not only the nominal but also the adjusted rate exceeded the widely expected return in the Netherlands, albeit only by one single percentage point as during the boom years of 1920 and 1925. </w:t>
      </w:r>
      <w:r w:rsidR="00A80705">
        <w:rPr>
          <w:rFonts w:ascii="Times New Roman" w:hAnsi="Times New Roman" w:cs="Times New Roman"/>
          <w:sz w:val="24"/>
          <w:szCs w:val="24"/>
          <w:lang w:val="en-US"/>
        </w:rPr>
        <w:t xml:space="preserve">The sole exception to the rule was the year 1940 when a gradual economic recovery had been coinciding with cautious dividend policies that reduced nominal dividend rates even to 1935 in the midst of the economic depression. </w:t>
      </w:r>
    </w:p>
    <w:p w:rsidR="007C0CA0" w:rsidRDefault="007C0CA0" w:rsidP="007C0CA0">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High dividend rates applied to nominal values of equity resulted on occasion in substantial aggregate flows of dividends payouts</w:t>
      </w:r>
      <w:r w:rsidR="00316692">
        <w:rPr>
          <w:rFonts w:ascii="Times New Roman" w:hAnsi="Times New Roman" w:cs="Times New Roman"/>
          <w:sz w:val="24"/>
          <w:szCs w:val="24"/>
          <w:lang w:val="en-US"/>
        </w:rPr>
        <w:t xml:space="preserve"> (Table 2)</w:t>
      </w:r>
      <w:r>
        <w:rPr>
          <w:rFonts w:ascii="Times New Roman" w:hAnsi="Times New Roman" w:cs="Times New Roman"/>
          <w:sz w:val="24"/>
          <w:szCs w:val="24"/>
          <w:lang w:val="en-US"/>
        </w:rPr>
        <w:t xml:space="preserve">. The largest flow, amounting to a quarter of a billion guilders, was </w:t>
      </w:r>
      <w:r w:rsidR="003C34C7">
        <w:rPr>
          <w:rFonts w:ascii="Times New Roman" w:hAnsi="Times New Roman" w:cs="Times New Roman"/>
          <w:sz w:val="24"/>
          <w:szCs w:val="24"/>
          <w:lang w:val="en-US"/>
        </w:rPr>
        <w:t xml:space="preserve">observed for </w:t>
      </w:r>
      <w:r>
        <w:rPr>
          <w:rFonts w:ascii="Times New Roman" w:hAnsi="Times New Roman" w:cs="Times New Roman"/>
          <w:sz w:val="24"/>
          <w:szCs w:val="24"/>
          <w:lang w:val="en-US"/>
        </w:rPr>
        <w:t>1930</w:t>
      </w:r>
      <w:r w:rsidR="003C34C7">
        <w:rPr>
          <w:rFonts w:ascii="Times New Roman" w:hAnsi="Times New Roman" w:cs="Times New Roman"/>
          <w:sz w:val="24"/>
          <w:szCs w:val="24"/>
          <w:lang w:val="en-US"/>
        </w:rPr>
        <w:t>, the year when our sample of firms reached its largest size.</w:t>
      </w:r>
      <w:r>
        <w:rPr>
          <w:rFonts w:ascii="Times New Roman" w:hAnsi="Times New Roman" w:cs="Times New Roman"/>
          <w:sz w:val="24"/>
          <w:szCs w:val="24"/>
          <w:lang w:val="en-US"/>
        </w:rPr>
        <w:t xml:space="preserve"> The increase in </w:t>
      </w:r>
      <w:r w:rsidR="003C34C7">
        <w:rPr>
          <w:rFonts w:ascii="Times New Roman" w:hAnsi="Times New Roman" w:cs="Times New Roman"/>
          <w:sz w:val="24"/>
          <w:szCs w:val="24"/>
          <w:lang w:val="en-US"/>
        </w:rPr>
        <w:t>aggregate</w:t>
      </w:r>
      <w:r>
        <w:rPr>
          <w:rFonts w:ascii="Times New Roman" w:hAnsi="Times New Roman" w:cs="Times New Roman"/>
          <w:sz w:val="24"/>
          <w:szCs w:val="24"/>
          <w:lang w:val="en-US"/>
        </w:rPr>
        <w:t xml:space="preserve"> payout </w:t>
      </w:r>
      <w:r w:rsidR="003C34C7">
        <w:rPr>
          <w:rFonts w:ascii="Times New Roman" w:hAnsi="Times New Roman" w:cs="Times New Roman"/>
          <w:sz w:val="24"/>
          <w:szCs w:val="24"/>
          <w:lang w:val="en-US"/>
        </w:rPr>
        <w:t xml:space="preserve">since the 1910s can be ascribed to both the larger number of firms listed at the stock exchange and successive increases of equity in individual companies. </w:t>
      </w:r>
      <w:r w:rsidR="001E08EF">
        <w:rPr>
          <w:rFonts w:ascii="Times New Roman" w:hAnsi="Times New Roman" w:cs="Times New Roman"/>
          <w:sz w:val="24"/>
          <w:szCs w:val="24"/>
          <w:lang w:val="en-US"/>
        </w:rPr>
        <w:t>T</w:t>
      </w:r>
      <w:r w:rsidR="006E17B6">
        <w:rPr>
          <w:rFonts w:ascii="Times New Roman" w:hAnsi="Times New Roman" w:cs="Times New Roman"/>
          <w:sz w:val="24"/>
          <w:szCs w:val="24"/>
          <w:lang w:val="en-US"/>
        </w:rPr>
        <w:t xml:space="preserve">he low point in 1935 reflects </w:t>
      </w:r>
      <w:r w:rsidR="001E08EF">
        <w:rPr>
          <w:rFonts w:ascii="Times New Roman" w:hAnsi="Times New Roman" w:cs="Times New Roman"/>
          <w:sz w:val="24"/>
          <w:szCs w:val="24"/>
          <w:lang w:val="en-US"/>
        </w:rPr>
        <w:t>common</w:t>
      </w:r>
      <w:r w:rsidR="006E17B6">
        <w:rPr>
          <w:rFonts w:ascii="Times New Roman" w:hAnsi="Times New Roman" w:cs="Times New Roman"/>
          <w:sz w:val="24"/>
          <w:szCs w:val="24"/>
          <w:lang w:val="en-US"/>
        </w:rPr>
        <w:t xml:space="preserve"> business strateg</w:t>
      </w:r>
      <w:r w:rsidR="001E08EF">
        <w:rPr>
          <w:rFonts w:ascii="Times New Roman" w:hAnsi="Times New Roman" w:cs="Times New Roman"/>
          <w:sz w:val="24"/>
          <w:szCs w:val="24"/>
          <w:lang w:val="en-US"/>
        </w:rPr>
        <w:t>ies</w:t>
      </w:r>
      <w:r w:rsidR="006E17B6">
        <w:rPr>
          <w:rFonts w:ascii="Times New Roman" w:hAnsi="Times New Roman" w:cs="Times New Roman"/>
          <w:sz w:val="24"/>
          <w:szCs w:val="24"/>
          <w:lang w:val="en-US"/>
        </w:rPr>
        <w:t xml:space="preserve"> of reducing or withholding dividends </w:t>
      </w:r>
      <w:r w:rsidR="001E08EF">
        <w:rPr>
          <w:rFonts w:ascii="Times New Roman" w:hAnsi="Times New Roman" w:cs="Times New Roman"/>
          <w:sz w:val="24"/>
          <w:szCs w:val="24"/>
          <w:lang w:val="en-US"/>
        </w:rPr>
        <w:t>during a recession</w:t>
      </w:r>
      <w:r w:rsidR="006E17B6">
        <w:rPr>
          <w:rFonts w:ascii="Times New Roman" w:hAnsi="Times New Roman" w:cs="Times New Roman"/>
          <w:sz w:val="24"/>
          <w:szCs w:val="24"/>
          <w:lang w:val="en-US"/>
        </w:rPr>
        <w:t xml:space="preserve">. The large volume calculated for 1940 signals a hesitant return to profitability whilst total nominal equity </w:t>
      </w:r>
      <w:r w:rsidR="001E08EF">
        <w:rPr>
          <w:rFonts w:ascii="Times New Roman" w:hAnsi="Times New Roman" w:cs="Times New Roman"/>
          <w:sz w:val="24"/>
          <w:szCs w:val="24"/>
          <w:lang w:val="en-US"/>
        </w:rPr>
        <w:t>seems to have been only marginally affected in the companies listed at the stock exchange.</w:t>
      </w:r>
      <w:r w:rsidR="006E17B6">
        <w:rPr>
          <w:rFonts w:ascii="Times New Roman" w:hAnsi="Times New Roman" w:cs="Times New Roman"/>
          <w:sz w:val="24"/>
          <w:szCs w:val="24"/>
          <w:lang w:val="en-US"/>
        </w:rPr>
        <w:t xml:space="preserve"> </w:t>
      </w:r>
    </w:p>
    <w:p w:rsidR="00316692" w:rsidRDefault="006E17B6" w:rsidP="007C0CA0">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Dividend rates have here been adjusted by changes in share prices. This brings us to additional potential returns from investment in colonial business accruing to shareholders due to rising prices in the stock market. </w:t>
      </w:r>
      <w:r w:rsidR="00316692">
        <w:rPr>
          <w:rFonts w:ascii="Times New Roman" w:hAnsi="Times New Roman" w:cs="Times New Roman"/>
          <w:sz w:val="24"/>
          <w:szCs w:val="24"/>
          <w:lang w:val="en-US"/>
        </w:rPr>
        <w:t>As mentioned above, the immediate gain in the form of dividends payout is accompanied by gains or losses that will only materialize when shares are being traded. It is instructive to review the adjusted dividend rate in conjunction with the share value gain</w:t>
      </w:r>
      <w:r w:rsidR="00BB6D58">
        <w:rPr>
          <w:rFonts w:ascii="Times New Roman" w:hAnsi="Times New Roman" w:cs="Times New Roman"/>
          <w:sz w:val="24"/>
          <w:szCs w:val="24"/>
          <w:lang w:val="en-US"/>
        </w:rPr>
        <w:t xml:space="preserve">. </w:t>
      </w:r>
      <w:r w:rsidR="00E16132">
        <w:rPr>
          <w:rFonts w:ascii="Times New Roman" w:hAnsi="Times New Roman" w:cs="Times New Roman"/>
          <w:sz w:val="24"/>
          <w:szCs w:val="24"/>
          <w:lang w:val="en-US"/>
        </w:rPr>
        <w:t>The rate of total gain may be conceived as the sum of direct cash gain from dividends and potential gains from annual changes in share value.</w:t>
      </w:r>
      <w:r w:rsidR="00316692">
        <w:rPr>
          <w:rFonts w:ascii="Times New Roman" w:hAnsi="Times New Roman" w:cs="Times New Roman"/>
          <w:sz w:val="24"/>
          <w:szCs w:val="24"/>
          <w:lang w:val="en-US"/>
        </w:rPr>
        <w:t xml:space="preserve"> </w:t>
      </w:r>
    </w:p>
    <w:p w:rsidR="00BB6D58" w:rsidRDefault="00316692" w:rsidP="006D4E48">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rate of share value gain is inferred from the rate of change in share prices since the preceding year (Table 2). The share prices of the sample selected here shows extreme variations over time, including steep increases in some years (1915, 1925, 1940) and a steep decline on occasions (1920 and 1930). </w:t>
      </w:r>
      <w:r w:rsidR="00BB6D58">
        <w:rPr>
          <w:rFonts w:ascii="Times New Roman" w:hAnsi="Times New Roman" w:cs="Times New Roman"/>
          <w:sz w:val="24"/>
          <w:szCs w:val="24"/>
          <w:lang w:val="en-US"/>
        </w:rPr>
        <w:t xml:space="preserve">As </w:t>
      </w:r>
      <w:r w:rsidR="00E16132">
        <w:rPr>
          <w:rFonts w:ascii="Times New Roman" w:hAnsi="Times New Roman" w:cs="Times New Roman"/>
          <w:sz w:val="24"/>
          <w:szCs w:val="24"/>
          <w:lang w:val="en-US"/>
        </w:rPr>
        <w:lastRenderedPageBreak/>
        <w:t xml:space="preserve">may be </w:t>
      </w:r>
      <w:r w:rsidR="00BB6D58">
        <w:rPr>
          <w:rFonts w:ascii="Times New Roman" w:hAnsi="Times New Roman" w:cs="Times New Roman"/>
          <w:sz w:val="24"/>
          <w:szCs w:val="24"/>
          <w:lang w:val="en-US"/>
        </w:rPr>
        <w:t>expected, t</w:t>
      </w:r>
      <w:r>
        <w:rPr>
          <w:rFonts w:ascii="Times New Roman" w:hAnsi="Times New Roman" w:cs="Times New Roman"/>
          <w:sz w:val="24"/>
          <w:szCs w:val="24"/>
          <w:lang w:val="en-US"/>
        </w:rPr>
        <w:t xml:space="preserve">he </w:t>
      </w:r>
      <w:r w:rsidR="00BB6D58">
        <w:rPr>
          <w:rFonts w:ascii="Times New Roman" w:hAnsi="Times New Roman" w:cs="Times New Roman"/>
          <w:sz w:val="24"/>
          <w:szCs w:val="24"/>
          <w:lang w:val="en-US"/>
        </w:rPr>
        <w:t xml:space="preserve">rate </w:t>
      </w:r>
      <w:r w:rsidR="00E55461">
        <w:rPr>
          <w:rFonts w:ascii="Times New Roman" w:hAnsi="Times New Roman" w:cs="Times New Roman"/>
          <w:sz w:val="24"/>
          <w:szCs w:val="24"/>
          <w:lang w:val="en-US"/>
        </w:rPr>
        <w:t xml:space="preserve">of </w:t>
      </w:r>
      <w:r w:rsidR="00BB6D58">
        <w:rPr>
          <w:rFonts w:ascii="Times New Roman" w:hAnsi="Times New Roman" w:cs="Times New Roman"/>
          <w:sz w:val="24"/>
          <w:szCs w:val="24"/>
          <w:lang w:val="en-US"/>
        </w:rPr>
        <w:t xml:space="preserve">total gain </w:t>
      </w:r>
      <w:r>
        <w:rPr>
          <w:rFonts w:ascii="Times New Roman" w:hAnsi="Times New Roman" w:cs="Times New Roman"/>
          <w:sz w:val="24"/>
          <w:szCs w:val="24"/>
          <w:lang w:val="en-US"/>
        </w:rPr>
        <w:t xml:space="preserve">was </w:t>
      </w:r>
      <w:r w:rsidR="00BB6D58">
        <w:rPr>
          <w:rFonts w:ascii="Times New Roman" w:hAnsi="Times New Roman" w:cs="Times New Roman"/>
          <w:sz w:val="24"/>
          <w:szCs w:val="24"/>
          <w:lang w:val="en-US"/>
        </w:rPr>
        <w:t xml:space="preserve">extraordinarily </w:t>
      </w:r>
      <w:r w:rsidR="00E55461">
        <w:rPr>
          <w:rFonts w:ascii="Times New Roman" w:hAnsi="Times New Roman" w:cs="Times New Roman"/>
          <w:sz w:val="24"/>
          <w:szCs w:val="24"/>
          <w:lang w:val="en-US"/>
        </w:rPr>
        <w:t>high for the years 1915, 1925 and 1940</w:t>
      </w:r>
      <w:r w:rsidR="00BB6D58">
        <w:rPr>
          <w:rFonts w:ascii="Times New Roman" w:hAnsi="Times New Roman" w:cs="Times New Roman"/>
          <w:sz w:val="24"/>
          <w:szCs w:val="24"/>
          <w:lang w:val="en-US"/>
        </w:rPr>
        <w:t>. Surprisingly, this also applied to 1935, presumably as a result of a beginning recovery of share prices from the nadir of depression. By contrast, t</w:t>
      </w:r>
      <w:r w:rsidR="00E16132">
        <w:rPr>
          <w:rFonts w:ascii="Times New Roman" w:hAnsi="Times New Roman" w:cs="Times New Roman"/>
          <w:sz w:val="24"/>
          <w:szCs w:val="24"/>
          <w:lang w:val="en-US"/>
        </w:rPr>
        <w:t xml:space="preserve">he rate of total gain was disappointingly </w:t>
      </w:r>
      <w:r w:rsidR="00E55461">
        <w:rPr>
          <w:rFonts w:ascii="Times New Roman" w:hAnsi="Times New Roman" w:cs="Times New Roman"/>
          <w:sz w:val="24"/>
          <w:szCs w:val="24"/>
          <w:lang w:val="en-US"/>
        </w:rPr>
        <w:t xml:space="preserve">low </w:t>
      </w:r>
      <w:r w:rsidR="00D00417">
        <w:rPr>
          <w:rFonts w:ascii="Times New Roman" w:hAnsi="Times New Roman" w:cs="Times New Roman"/>
          <w:sz w:val="24"/>
          <w:szCs w:val="24"/>
          <w:lang w:val="en-US"/>
        </w:rPr>
        <w:t>over</w:t>
      </w:r>
      <w:r w:rsidR="00E55461">
        <w:rPr>
          <w:rFonts w:ascii="Times New Roman" w:hAnsi="Times New Roman" w:cs="Times New Roman"/>
          <w:sz w:val="24"/>
          <w:szCs w:val="24"/>
          <w:lang w:val="en-US"/>
        </w:rPr>
        <w:t xml:space="preserve"> 1920 and 1930</w:t>
      </w:r>
      <w:r w:rsidR="00E16132">
        <w:rPr>
          <w:rFonts w:ascii="Times New Roman" w:hAnsi="Times New Roman" w:cs="Times New Roman"/>
          <w:sz w:val="24"/>
          <w:szCs w:val="24"/>
          <w:lang w:val="en-US"/>
        </w:rPr>
        <w:t xml:space="preserve">, but shareholders would </w:t>
      </w:r>
      <w:r w:rsidR="00D00417">
        <w:rPr>
          <w:rFonts w:ascii="Times New Roman" w:hAnsi="Times New Roman" w:cs="Times New Roman"/>
          <w:sz w:val="24"/>
          <w:szCs w:val="24"/>
          <w:lang w:val="en-US"/>
        </w:rPr>
        <w:t xml:space="preserve">indeed </w:t>
      </w:r>
      <w:r w:rsidR="00E16132">
        <w:rPr>
          <w:rFonts w:ascii="Times New Roman" w:hAnsi="Times New Roman" w:cs="Times New Roman"/>
          <w:sz w:val="24"/>
          <w:szCs w:val="24"/>
          <w:lang w:val="en-US"/>
        </w:rPr>
        <w:t xml:space="preserve">only be directly affected if </w:t>
      </w:r>
      <w:r w:rsidR="00D00417">
        <w:rPr>
          <w:rFonts w:ascii="Times New Roman" w:hAnsi="Times New Roman" w:cs="Times New Roman"/>
          <w:sz w:val="24"/>
          <w:szCs w:val="24"/>
          <w:lang w:val="en-US"/>
        </w:rPr>
        <w:t xml:space="preserve">forced </w:t>
      </w:r>
      <w:r w:rsidR="00E16132">
        <w:rPr>
          <w:rFonts w:ascii="Times New Roman" w:hAnsi="Times New Roman" w:cs="Times New Roman"/>
          <w:sz w:val="24"/>
          <w:szCs w:val="24"/>
          <w:lang w:val="en-US"/>
        </w:rPr>
        <w:t xml:space="preserve">to sell stock. The sole year with a positive rate of total gain at the same order of magnitude as dividend rates was 1910 when </w:t>
      </w:r>
      <w:r w:rsidR="00D00417">
        <w:rPr>
          <w:rFonts w:ascii="Times New Roman" w:hAnsi="Times New Roman" w:cs="Times New Roman"/>
          <w:sz w:val="24"/>
          <w:szCs w:val="24"/>
          <w:lang w:val="en-US"/>
        </w:rPr>
        <w:t xml:space="preserve">the buildup of </w:t>
      </w:r>
      <w:r w:rsidR="00E16132">
        <w:rPr>
          <w:rFonts w:ascii="Times New Roman" w:hAnsi="Times New Roman" w:cs="Times New Roman"/>
          <w:sz w:val="24"/>
          <w:szCs w:val="24"/>
          <w:lang w:val="en-US"/>
        </w:rPr>
        <w:t xml:space="preserve">colonial stock </w:t>
      </w:r>
      <w:r w:rsidR="00D00417">
        <w:rPr>
          <w:rFonts w:ascii="Times New Roman" w:hAnsi="Times New Roman" w:cs="Times New Roman"/>
          <w:sz w:val="24"/>
          <w:szCs w:val="24"/>
          <w:lang w:val="en-US"/>
        </w:rPr>
        <w:t xml:space="preserve">was </w:t>
      </w:r>
      <w:r w:rsidR="00E16132">
        <w:rPr>
          <w:rFonts w:ascii="Times New Roman" w:hAnsi="Times New Roman" w:cs="Times New Roman"/>
          <w:sz w:val="24"/>
          <w:szCs w:val="24"/>
          <w:lang w:val="en-US"/>
        </w:rPr>
        <w:t xml:space="preserve">still in </w:t>
      </w:r>
      <w:r w:rsidR="00D00417">
        <w:rPr>
          <w:rFonts w:ascii="Times New Roman" w:hAnsi="Times New Roman" w:cs="Times New Roman"/>
          <w:sz w:val="24"/>
          <w:szCs w:val="24"/>
          <w:lang w:val="en-US"/>
        </w:rPr>
        <w:t>its infancy</w:t>
      </w:r>
      <w:r w:rsidR="00E16132">
        <w:rPr>
          <w:rFonts w:ascii="Times New Roman" w:hAnsi="Times New Roman" w:cs="Times New Roman"/>
          <w:sz w:val="24"/>
          <w:szCs w:val="24"/>
          <w:lang w:val="en-US"/>
        </w:rPr>
        <w:t xml:space="preserve">. </w:t>
      </w:r>
    </w:p>
    <w:p w:rsidR="00F166D7" w:rsidRDefault="00D00417" w:rsidP="00D00417">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Earlier estimates of </w:t>
      </w:r>
      <w:r w:rsidR="00B17A6C">
        <w:rPr>
          <w:rFonts w:ascii="Times New Roman" w:hAnsi="Times New Roman" w:cs="Times New Roman"/>
          <w:sz w:val="24"/>
          <w:szCs w:val="24"/>
          <w:lang w:val="en-US"/>
        </w:rPr>
        <w:t xml:space="preserve">unadjusted dividend </w:t>
      </w:r>
      <w:r>
        <w:rPr>
          <w:rFonts w:ascii="Times New Roman" w:hAnsi="Times New Roman" w:cs="Times New Roman"/>
          <w:sz w:val="24"/>
          <w:szCs w:val="24"/>
          <w:lang w:val="en-US"/>
        </w:rPr>
        <w:t>rate</w:t>
      </w:r>
      <w:r w:rsidR="00B17A6C">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CD309D">
        <w:rPr>
          <w:rFonts w:ascii="Times New Roman" w:hAnsi="Times New Roman" w:cs="Times New Roman"/>
          <w:sz w:val="24"/>
          <w:szCs w:val="24"/>
          <w:lang w:val="en-US"/>
        </w:rPr>
        <w:t xml:space="preserve">have highlighted the considerable </w:t>
      </w:r>
      <w:r w:rsidR="00B17A6C">
        <w:rPr>
          <w:rFonts w:ascii="Times New Roman" w:hAnsi="Times New Roman" w:cs="Times New Roman"/>
          <w:sz w:val="24"/>
          <w:szCs w:val="24"/>
          <w:lang w:val="en-US"/>
        </w:rPr>
        <w:t>variation across sectors and branches of industry</w:t>
      </w:r>
      <w:r w:rsidR="00CD309D">
        <w:rPr>
          <w:rFonts w:ascii="Times New Roman" w:hAnsi="Times New Roman" w:cs="Times New Roman"/>
          <w:sz w:val="24"/>
          <w:szCs w:val="24"/>
          <w:lang w:val="en-US"/>
        </w:rPr>
        <w:t>. With the use of adjusted dividend rates, the possibilities of calculating sensible average are curtailed by the far smaller size of the sample.</w:t>
      </w:r>
      <w:r w:rsidR="00625E9A">
        <w:rPr>
          <w:rFonts w:ascii="Times New Roman" w:hAnsi="Times New Roman" w:cs="Times New Roman"/>
          <w:sz w:val="24"/>
          <w:szCs w:val="24"/>
          <w:lang w:val="en-US"/>
        </w:rPr>
        <w:t xml:space="preserve"> </w:t>
      </w:r>
      <w:r w:rsidR="00CD309D">
        <w:rPr>
          <w:rFonts w:ascii="Times New Roman" w:hAnsi="Times New Roman" w:cs="Times New Roman"/>
          <w:sz w:val="24"/>
          <w:szCs w:val="24"/>
          <w:lang w:val="en-US"/>
        </w:rPr>
        <w:t>It seems logical to assume that an average rate needs to be based on data for at least four individual firms in order to offer some measure of representativeness of the branch in question. Similarly, meaningful comparisons over time would need to embrace at least four of the seven years of observation figuring in our analysis.</w:t>
      </w:r>
      <w:r w:rsidR="00F166D7">
        <w:rPr>
          <w:rFonts w:ascii="Times New Roman" w:hAnsi="Times New Roman" w:cs="Times New Roman"/>
          <w:sz w:val="24"/>
          <w:szCs w:val="24"/>
          <w:lang w:val="en-US"/>
        </w:rPr>
        <w:t xml:space="preserve"> </w:t>
      </w:r>
      <w:r w:rsidR="00CD309D">
        <w:rPr>
          <w:rFonts w:ascii="Times New Roman" w:hAnsi="Times New Roman" w:cs="Times New Roman"/>
          <w:sz w:val="24"/>
          <w:szCs w:val="24"/>
          <w:lang w:val="en-US"/>
        </w:rPr>
        <w:t xml:space="preserve">Applying these restrictions in terms of calculating averages generated methodologically acceptable outcomes for </w:t>
      </w:r>
      <w:r w:rsidR="0043104F">
        <w:rPr>
          <w:rFonts w:ascii="Times New Roman" w:hAnsi="Times New Roman" w:cs="Times New Roman"/>
          <w:sz w:val="24"/>
          <w:szCs w:val="24"/>
          <w:lang w:val="en-US"/>
        </w:rPr>
        <w:t>ten</w:t>
      </w:r>
      <w:r w:rsidR="00CD309D">
        <w:rPr>
          <w:rFonts w:ascii="Times New Roman" w:hAnsi="Times New Roman" w:cs="Times New Roman"/>
          <w:sz w:val="24"/>
          <w:szCs w:val="24"/>
          <w:lang w:val="en-US"/>
        </w:rPr>
        <w:t xml:space="preserve"> </w:t>
      </w:r>
      <w:r w:rsidR="0043104F">
        <w:rPr>
          <w:rFonts w:ascii="Times New Roman" w:hAnsi="Times New Roman" w:cs="Times New Roman"/>
          <w:sz w:val="24"/>
          <w:szCs w:val="24"/>
          <w:lang w:val="en-US"/>
        </w:rPr>
        <w:t xml:space="preserve">important </w:t>
      </w:r>
      <w:r w:rsidR="00625E9A">
        <w:rPr>
          <w:rFonts w:ascii="Times New Roman" w:hAnsi="Times New Roman" w:cs="Times New Roman"/>
          <w:sz w:val="24"/>
          <w:szCs w:val="24"/>
          <w:lang w:val="en-US"/>
        </w:rPr>
        <w:t xml:space="preserve">branches of </w:t>
      </w:r>
      <w:r w:rsidR="0043104F">
        <w:rPr>
          <w:rFonts w:ascii="Times New Roman" w:hAnsi="Times New Roman" w:cs="Times New Roman"/>
          <w:sz w:val="24"/>
          <w:szCs w:val="24"/>
          <w:lang w:val="en-US"/>
        </w:rPr>
        <w:t>economic activity in colonial Indonesia</w:t>
      </w:r>
      <w:r w:rsidR="00CD309D">
        <w:rPr>
          <w:rFonts w:ascii="Times New Roman" w:hAnsi="Times New Roman" w:cs="Times New Roman"/>
          <w:sz w:val="24"/>
          <w:szCs w:val="24"/>
          <w:lang w:val="en-US"/>
        </w:rPr>
        <w:t>.</w:t>
      </w:r>
    </w:p>
    <w:p w:rsidR="00E32800" w:rsidRDefault="00B17A6C" w:rsidP="00D00417">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Among the </w:t>
      </w:r>
      <w:r w:rsidR="0043104F">
        <w:rPr>
          <w:rFonts w:ascii="Times New Roman" w:hAnsi="Times New Roman" w:cs="Times New Roman"/>
          <w:sz w:val="24"/>
          <w:szCs w:val="24"/>
          <w:lang w:val="en-US"/>
        </w:rPr>
        <w:t xml:space="preserve">colony’s </w:t>
      </w:r>
      <w:r>
        <w:rPr>
          <w:rFonts w:ascii="Times New Roman" w:hAnsi="Times New Roman" w:cs="Times New Roman"/>
          <w:sz w:val="24"/>
          <w:szCs w:val="24"/>
          <w:lang w:val="en-US"/>
        </w:rPr>
        <w:t xml:space="preserve">top </w:t>
      </w:r>
      <w:r w:rsidR="0043104F">
        <w:rPr>
          <w:rFonts w:ascii="Times New Roman" w:hAnsi="Times New Roman" w:cs="Times New Roman"/>
          <w:sz w:val="24"/>
          <w:szCs w:val="24"/>
          <w:lang w:val="en-US"/>
        </w:rPr>
        <w:t xml:space="preserve">three </w:t>
      </w:r>
      <w:r w:rsidR="00CD309D">
        <w:rPr>
          <w:rFonts w:ascii="Times New Roman" w:hAnsi="Times New Roman" w:cs="Times New Roman"/>
          <w:sz w:val="24"/>
          <w:szCs w:val="24"/>
          <w:lang w:val="en-US"/>
        </w:rPr>
        <w:t>export products</w:t>
      </w:r>
      <w:r w:rsidR="0043104F">
        <w:rPr>
          <w:rFonts w:ascii="Times New Roman" w:hAnsi="Times New Roman" w:cs="Times New Roman"/>
          <w:sz w:val="24"/>
          <w:szCs w:val="24"/>
          <w:lang w:val="en-US"/>
        </w:rPr>
        <w:t xml:space="preserve">, </w:t>
      </w:r>
      <w:r w:rsidR="00CD309D">
        <w:rPr>
          <w:rFonts w:ascii="Times New Roman" w:hAnsi="Times New Roman" w:cs="Times New Roman"/>
          <w:sz w:val="24"/>
          <w:szCs w:val="24"/>
          <w:lang w:val="en-US"/>
        </w:rPr>
        <w:t xml:space="preserve">rubber </w:t>
      </w:r>
      <w:r w:rsidR="0043104F">
        <w:rPr>
          <w:rFonts w:ascii="Times New Roman" w:hAnsi="Times New Roman" w:cs="Times New Roman"/>
          <w:sz w:val="24"/>
          <w:szCs w:val="24"/>
          <w:lang w:val="en-US"/>
        </w:rPr>
        <w:t xml:space="preserve">appears to have been </w:t>
      </w:r>
      <w:r w:rsidR="00CD309D">
        <w:rPr>
          <w:rFonts w:ascii="Times New Roman" w:hAnsi="Times New Roman" w:cs="Times New Roman"/>
          <w:sz w:val="24"/>
          <w:szCs w:val="24"/>
          <w:lang w:val="en-US"/>
        </w:rPr>
        <w:t xml:space="preserve">the most profitable one, judging from dividend rates over time as adjusted for changes in the value of equity (Figure 3). The average for seven years observed was 8.3 per cent, with spectacular peaks </w:t>
      </w:r>
      <w:r w:rsidR="00E32800">
        <w:rPr>
          <w:rFonts w:ascii="Times New Roman" w:hAnsi="Times New Roman" w:cs="Times New Roman"/>
          <w:sz w:val="24"/>
          <w:szCs w:val="24"/>
          <w:lang w:val="en-US"/>
        </w:rPr>
        <w:t xml:space="preserve">of 13 per cent in </w:t>
      </w:r>
      <w:r w:rsidR="00CD309D">
        <w:rPr>
          <w:rFonts w:ascii="Times New Roman" w:hAnsi="Times New Roman" w:cs="Times New Roman"/>
          <w:sz w:val="24"/>
          <w:szCs w:val="24"/>
          <w:lang w:val="en-US"/>
        </w:rPr>
        <w:t xml:space="preserve">1915 and </w:t>
      </w:r>
      <w:r w:rsidR="00E32800">
        <w:rPr>
          <w:rFonts w:ascii="Times New Roman" w:hAnsi="Times New Roman" w:cs="Times New Roman"/>
          <w:sz w:val="24"/>
          <w:szCs w:val="24"/>
          <w:lang w:val="en-US"/>
        </w:rPr>
        <w:t xml:space="preserve">15 per cent in </w:t>
      </w:r>
      <w:r w:rsidR="00CD309D">
        <w:rPr>
          <w:rFonts w:ascii="Times New Roman" w:hAnsi="Times New Roman" w:cs="Times New Roman"/>
          <w:sz w:val="24"/>
          <w:szCs w:val="24"/>
          <w:lang w:val="en-US"/>
        </w:rPr>
        <w:t>1930</w:t>
      </w:r>
      <w:r w:rsidR="00E32800">
        <w:rPr>
          <w:rFonts w:ascii="Times New Roman" w:hAnsi="Times New Roman" w:cs="Times New Roman"/>
          <w:sz w:val="24"/>
          <w:szCs w:val="24"/>
          <w:lang w:val="en-US"/>
        </w:rPr>
        <w:t xml:space="preserve">. Sugar ranked second with an average at 6.95 per cent calculated over six years (except 1935). The best years were 1925 and 1930 with adjusted dividend rates at 9.5 and 11.3 per cent respectively. Oil, following in succession sugar, displayed a stable pattern over time with an average at 6.1 per cent, barely more than what shareholders at large would expect in the Netherlands. The drop below 4 per cent in 1935 was obviously caused by the worldwide depression. </w:t>
      </w:r>
    </w:p>
    <w:p w:rsidR="001D6340" w:rsidRDefault="00E32800" w:rsidP="00D00417">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Of the </w:t>
      </w:r>
      <w:r w:rsidR="008A2481">
        <w:rPr>
          <w:rFonts w:ascii="Times New Roman" w:hAnsi="Times New Roman" w:cs="Times New Roman"/>
          <w:sz w:val="24"/>
          <w:szCs w:val="24"/>
          <w:lang w:val="en-US"/>
        </w:rPr>
        <w:t xml:space="preserve">three </w:t>
      </w:r>
      <w:r>
        <w:rPr>
          <w:rFonts w:ascii="Times New Roman" w:hAnsi="Times New Roman" w:cs="Times New Roman"/>
          <w:sz w:val="24"/>
          <w:szCs w:val="24"/>
          <w:lang w:val="en-US"/>
        </w:rPr>
        <w:t xml:space="preserve">other </w:t>
      </w:r>
      <w:r w:rsidR="008A2481">
        <w:rPr>
          <w:rFonts w:ascii="Times New Roman" w:hAnsi="Times New Roman" w:cs="Times New Roman"/>
          <w:sz w:val="24"/>
          <w:szCs w:val="24"/>
          <w:lang w:val="en-US"/>
        </w:rPr>
        <w:t xml:space="preserve">leading crops in export agriculture, coffee offered higher rates of return than tobacco or tea (Figure 4). The average calculated over four years between 1925 and 1940 neared 11 per cent, conditioned in particular by a spectacular peak in 1930. The average for tobacco and tea was 7 per cent, slightly above the ‘normal’ standard dividend rate of 6 per cent, with an outlier at 10 per cent in 1930 for both. </w:t>
      </w:r>
      <w:r w:rsidR="001D6340">
        <w:rPr>
          <w:rFonts w:ascii="Times New Roman" w:hAnsi="Times New Roman" w:cs="Times New Roman"/>
          <w:sz w:val="24"/>
          <w:szCs w:val="24"/>
          <w:lang w:val="en-US"/>
        </w:rPr>
        <w:t>More detailed comparisons are impaired by the fact that there was only a sufficient number of individual firms to calculate a meaningful average for tobacco in the years from 1910 to 1930 but between 1925 and 1940 in the case of tea.</w:t>
      </w:r>
    </w:p>
    <w:p w:rsidR="00D86953" w:rsidRDefault="001D6340" w:rsidP="00D00417">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services sector, </w:t>
      </w:r>
      <w:r w:rsidR="00D86953">
        <w:rPr>
          <w:rFonts w:ascii="Times New Roman" w:hAnsi="Times New Roman" w:cs="Times New Roman"/>
          <w:sz w:val="24"/>
          <w:szCs w:val="24"/>
          <w:lang w:val="en-US"/>
        </w:rPr>
        <w:t xml:space="preserve">banking was clearly the most profitable branch of activity (Figure 5). The adjusted dividend rate reached an extraordinarily high level in 1915 and 1930, and averaged 17 per cent over the four years for which it could meaningfully be calculated. Land transport, such as railways and </w:t>
      </w:r>
      <w:r w:rsidR="00D86953">
        <w:rPr>
          <w:rFonts w:ascii="Times New Roman" w:hAnsi="Times New Roman" w:cs="Times New Roman"/>
          <w:sz w:val="24"/>
          <w:szCs w:val="24"/>
          <w:lang w:val="en-US"/>
        </w:rPr>
        <w:lastRenderedPageBreak/>
        <w:t xml:space="preserve">steam trams, ranked second at an average of 9.5 per cent over </w:t>
      </w:r>
      <w:r>
        <w:rPr>
          <w:rFonts w:ascii="Times New Roman" w:hAnsi="Times New Roman" w:cs="Times New Roman"/>
          <w:sz w:val="24"/>
          <w:szCs w:val="24"/>
          <w:lang w:val="en-US"/>
        </w:rPr>
        <w:t>the years between 1910 and 1930</w:t>
      </w:r>
      <w:r w:rsidR="00D86953">
        <w:rPr>
          <w:rFonts w:ascii="Times New Roman" w:hAnsi="Times New Roman" w:cs="Times New Roman"/>
          <w:sz w:val="24"/>
          <w:szCs w:val="24"/>
          <w:lang w:val="en-US"/>
        </w:rPr>
        <w:t>; the ‘best’ year was 1930.</w:t>
      </w:r>
      <w:r>
        <w:rPr>
          <w:rFonts w:ascii="Times New Roman" w:hAnsi="Times New Roman" w:cs="Times New Roman"/>
          <w:sz w:val="24"/>
          <w:szCs w:val="24"/>
          <w:lang w:val="en-US"/>
        </w:rPr>
        <w:t xml:space="preserve"> Trading companies were in the </w:t>
      </w:r>
      <w:r w:rsidR="00D86953">
        <w:rPr>
          <w:rFonts w:ascii="Times New Roman" w:hAnsi="Times New Roman" w:cs="Times New Roman"/>
          <w:sz w:val="24"/>
          <w:szCs w:val="24"/>
          <w:lang w:val="en-US"/>
        </w:rPr>
        <w:t xml:space="preserve">third </w:t>
      </w:r>
      <w:r>
        <w:rPr>
          <w:rFonts w:ascii="Times New Roman" w:hAnsi="Times New Roman" w:cs="Times New Roman"/>
          <w:sz w:val="24"/>
          <w:szCs w:val="24"/>
          <w:lang w:val="en-US"/>
        </w:rPr>
        <w:t>rank, averaging nearly 8 per cent</w:t>
      </w:r>
      <w:r w:rsidR="00D86953">
        <w:rPr>
          <w:rFonts w:ascii="Times New Roman" w:hAnsi="Times New Roman" w:cs="Times New Roman"/>
          <w:sz w:val="24"/>
          <w:szCs w:val="24"/>
          <w:lang w:val="en-US"/>
        </w:rPr>
        <w:t xml:space="preserve"> over five years scattered throughout the period under observation. </w:t>
      </w:r>
      <w:r w:rsidR="0043104F">
        <w:rPr>
          <w:rFonts w:ascii="Times New Roman" w:hAnsi="Times New Roman" w:cs="Times New Roman"/>
          <w:sz w:val="24"/>
          <w:szCs w:val="24"/>
          <w:lang w:val="en-US"/>
        </w:rPr>
        <w:t xml:space="preserve">Despite impressive results in 1920 and 1930, the average rate for </w:t>
      </w:r>
      <w:r>
        <w:rPr>
          <w:rFonts w:ascii="Times New Roman" w:hAnsi="Times New Roman" w:cs="Times New Roman"/>
          <w:sz w:val="24"/>
          <w:szCs w:val="24"/>
          <w:lang w:val="en-US"/>
        </w:rPr>
        <w:t>shipping</w:t>
      </w:r>
      <w:r w:rsidR="0043104F">
        <w:rPr>
          <w:rFonts w:ascii="Times New Roman" w:hAnsi="Times New Roman" w:cs="Times New Roman"/>
          <w:sz w:val="24"/>
          <w:szCs w:val="24"/>
          <w:lang w:val="en-US"/>
        </w:rPr>
        <w:t xml:space="preserve"> differed only marginally from the </w:t>
      </w:r>
      <w:r>
        <w:rPr>
          <w:rFonts w:ascii="Times New Roman" w:hAnsi="Times New Roman" w:cs="Times New Roman"/>
          <w:sz w:val="24"/>
          <w:szCs w:val="24"/>
          <w:lang w:val="en-US"/>
        </w:rPr>
        <w:t>6 per cent</w:t>
      </w:r>
      <w:r w:rsidR="0043104F">
        <w:rPr>
          <w:rFonts w:ascii="Times New Roman" w:hAnsi="Times New Roman" w:cs="Times New Roman"/>
          <w:sz w:val="24"/>
          <w:szCs w:val="24"/>
          <w:lang w:val="en-US"/>
        </w:rPr>
        <w:t xml:space="preserve"> expected by shareholders in the Netherlands.</w:t>
      </w:r>
    </w:p>
    <w:p w:rsidR="00960D3A" w:rsidRDefault="00CE4EA2" w:rsidP="00CE4EA2">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ten average dividend rates by branch presented here convey an impression of a reasonable profitability but not one fitting stereotyped extremes. Nevertheless, there were individual firms reporting dividend rates that also after correction for changes in equity value remain striking. One famous example is the </w:t>
      </w:r>
      <w:proofErr w:type="spellStart"/>
      <w:r w:rsidRPr="00CE4EA2">
        <w:rPr>
          <w:rFonts w:ascii="Times New Roman" w:hAnsi="Times New Roman" w:cs="Times New Roman"/>
          <w:i/>
          <w:sz w:val="24"/>
          <w:szCs w:val="24"/>
          <w:lang w:val="en-US"/>
        </w:rPr>
        <w:t>Preanger</w:t>
      </w:r>
      <w:proofErr w:type="spellEnd"/>
      <w:r w:rsidRPr="00CE4EA2">
        <w:rPr>
          <w:rFonts w:ascii="Times New Roman" w:hAnsi="Times New Roman" w:cs="Times New Roman"/>
          <w:i/>
          <w:sz w:val="24"/>
          <w:szCs w:val="24"/>
          <w:lang w:val="en-US"/>
        </w:rPr>
        <w:t xml:space="preserve"> </w:t>
      </w:r>
      <w:proofErr w:type="spellStart"/>
      <w:r w:rsidRPr="00CE4EA2">
        <w:rPr>
          <w:rFonts w:ascii="Times New Roman" w:hAnsi="Times New Roman" w:cs="Times New Roman"/>
          <w:i/>
          <w:sz w:val="24"/>
          <w:szCs w:val="24"/>
          <w:lang w:val="en-US"/>
        </w:rPr>
        <w:t>Landbouw</w:t>
      </w:r>
      <w:proofErr w:type="spellEnd"/>
      <w:r w:rsidRPr="00CE4EA2">
        <w:rPr>
          <w:rFonts w:ascii="Times New Roman" w:hAnsi="Times New Roman" w:cs="Times New Roman"/>
          <w:i/>
          <w:sz w:val="24"/>
          <w:szCs w:val="24"/>
          <w:lang w:val="en-US"/>
        </w:rPr>
        <w:t xml:space="preserve"> </w:t>
      </w:r>
      <w:proofErr w:type="spellStart"/>
      <w:r w:rsidRPr="00CE4EA2">
        <w:rPr>
          <w:rFonts w:ascii="Times New Roman" w:hAnsi="Times New Roman" w:cs="Times New Roman"/>
          <w:i/>
          <w:sz w:val="24"/>
          <w:szCs w:val="24"/>
          <w:lang w:val="en-US"/>
        </w:rPr>
        <w:t>Maatschappij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Preanger</w:t>
      </w:r>
      <w:proofErr w:type="spellEnd"/>
      <w:r>
        <w:rPr>
          <w:rFonts w:ascii="Times New Roman" w:hAnsi="Times New Roman" w:cs="Times New Roman"/>
          <w:sz w:val="24"/>
          <w:szCs w:val="24"/>
          <w:lang w:val="en-US"/>
        </w:rPr>
        <w:t xml:space="preserve"> Cultivation Company), ranking among the top three firms with the highest rates in all years except two; the adjusted dividend rate was 121 per cent in 1930. </w:t>
      </w:r>
      <w:r w:rsidR="00960D3A">
        <w:rPr>
          <w:rFonts w:ascii="Times New Roman" w:hAnsi="Times New Roman" w:cs="Times New Roman"/>
          <w:sz w:val="24"/>
          <w:szCs w:val="24"/>
          <w:lang w:val="en-US"/>
        </w:rPr>
        <w:t xml:space="preserve">Another example is the </w:t>
      </w:r>
      <w:proofErr w:type="spellStart"/>
      <w:r w:rsidR="00960D3A" w:rsidRPr="00960D3A">
        <w:rPr>
          <w:rFonts w:ascii="Times New Roman" w:hAnsi="Times New Roman" w:cs="Times New Roman"/>
          <w:i/>
          <w:sz w:val="24"/>
          <w:szCs w:val="24"/>
          <w:lang w:val="en-US"/>
        </w:rPr>
        <w:t>Madoera</w:t>
      </w:r>
      <w:proofErr w:type="spellEnd"/>
      <w:r w:rsidR="00960D3A" w:rsidRPr="00960D3A">
        <w:rPr>
          <w:rFonts w:ascii="Times New Roman" w:hAnsi="Times New Roman" w:cs="Times New Roman"/>
          <w:i/>
          <w:sz w:val="24"/>
          <w:szCs w:val="24"/>
          <w:lang w:val="en-US"/>
        </w:rPr>
        <w:t xml:space="preserve"> </w:t>
      </w:r>
      <w:proofErr w:type="spellStart"/>
      <w:r w:rsidR="00960D3A" w:rsidRPr="00960D3A">
        <w:rPr>
          <w:rFonts w:ascii="Times New Roman" w:hAnsi="Times New Roman" w:cs="Times New Roman"/>
          <w:i/>
          <w:sz w:val="24"/>
          <w:szCs w:val="24"/>
          <w:lang w:val="en-US"/>
        </w:rPr>
        <w:t>Stoomtram</w:t>
      </w:r>
      <w:proofErr w:type="spellEnd"/>
      <w:r w:rsidR="00960D3A" w:rsidRPr="00960D3A">
        <w:rPr>
          <w:rFonts w:ascii="Times New Roman" w:hAnsi="Times New Roman" w:cs="Times New Roman"/>
          <w:i/>
          <w:sz w:val="24"/>
          <w:szCs w:val="24"/>
          <w:lang w:val="en-US"/>
        </w:rPr>
        <w:t xml:space="preserve"> </w:t>
      </w:r>
      <w:proofErr w:type="spellStart"/>
      <w:r w:rsidR="00960D3A" w:rsidRPr="00960D3A">
        <w:rPr>
          <w:rFonts w:ascii="Times New Roman" w:hAnsi="Times New Roman" w:cs="Times New Roman"/>
          <w:i/>
          <w:sz w:val="24"/>
          <w:szCs w:val="24"/>
          <w:lang w:val="en-US"/>
        </w:rPr>
        <w:t>Maatschappij</w:t>
      </w:r>
      <w:proofErr w:type="spellEnd"/>
      <w:r w:rsidR="00960D3A">
        <w:rPr>
          <w:rFonts w:ascii="Times New Roman" w:hAnsi="Times New Roman" w:cs="Times New Roman"/>
          <w:sz w:val="24"/>
          <w:szCs w:val="24"/>
          <w:lang w:val="en-US"/>
        </w:rPr>
        <w:t xml:space="preserve"> (Madura Steam Tram), which on three occasions figured among the top three, including a 70 per cent adjusted dividend rate in 1930. The </w:t>
      </w:r>
      <w:proofErr w:type="spellStart"/>
      <w:r w:rsidR="00960D3A">
        <w:rPr>
          <w:rFonts w:ascii="Times New Roman" w:hAnsi="Times New Roman" w:cs="Times New Roman"/>
          <w:sz w:val="24"/>
          <w:szCs w:val="24"/>
          <w:lang w:val="en-US"/>
        </w:rPr>
        <w:t>Poerwokerto</w:t>
      </w:r>
      <w:proofErr w:type="spellEnd"/>
      <w:r w:rsidR="00960D3A">
        <w:rPr>
          <w:rFonts w:ascii="Times New Roman" w:hAnsi="Times New Roman" w:cs="Times New Roman"/>
          <w:sz w:val="24"/>
          <w:szCs w:val="24"/>
          <w:lang w:val="en-US"/>
        </w:rPr>
        <w:t xml:space="preserve"> sugar factory and the </w:t>
      </w:r>
      <w:r w:rsidR="00960D3A" w:rsidRPr="00960D3A">
        <w:rPr>
          <w:rFonts w:ascii="Times New Roman" w:hAnsi="Times New Roman" w:cs="Times New Roman"/>
          <w:i/>
          <w:sz w:val="24"/>
          <w:szCs w:val="24"/>
          <w:lang w:val="en-US"/>
        </w:rPr>
        <w:t xml:space="preserve">Banda </w:t>
      </w:r>
      <w:proofErr w:type="spellStart"/>
      <w:r w:rsidR="00960D3A" w:rsidRPr="00960D3A">
        <w:rPr>
          <w:rFonts w:ascii="Times New Roman" w:hAnsi="Times New Roman" w:cs="Times New Roman"/>
          <w:i/>
          <w:sz w:val="24"/>
          <w:szCs w:val="24"/>
          <w:lang w:val="en-US"/>
        </w:rPr>
        <w:t>Crediet</w:t>
      </w:r>
      <w:proofErr w:type="spellEnd"/>
      <w:r w:rsidR="00960D3A" w:rsidRPr="00960D3A">
        <w:rPr>
          <w:rFonts w:ascii="Times New Roman" w:hAnsi="Times New Roman" w:cs="Times New Roman"/>
          <w:i/>
          <w:sz w:val="24"/>
          <w:szCs w:val="24"/>
          <w:lang w:val="en-US"/>
        </w:rPr>
        <w:t xml:space="preserve">- en </w:t>
      </w:r>
      <w:proofErr w:type="spellStart"/>
      <w:r w:rsidR="00960D3A" w:rsidRPr="00960D3A">
        <w:rPr>
          <w:rFonts w:ascii="Times New Roman" w:hAnsi="Times New Roman" w:cs="Times New Roman"/>
          <w:i/>
          <w:sz w:val="24"/>
          <w:szCs w:val="24"/>
          <w:lang w:val="en-US"/>
        </w:rPr>
        <w:t>Handelsvereeniging</w:t>
      </w:r>
      <w:proofErr w:type="spellEnd"/>
      <w:r w:rsidR="00960D3A">
        <w:rPr>
          <w:rFonts w:ascii="Times New Roman" w:hAnsi="Times New Roman" w:cs="Times New Roman"/>
          <w:sz w:val="24"/>
          <w:szCs w:val="24"/>
          <w:lang w:val="en-US"/>
        </w:rPr>
        <w:t xml:space="preserve"> (Banda Credit and Trading Association) both ranked among the top three on more than one occasion, </w:t>
      </w:r>
      <w:proofErr w:type="spellStart"/>
      <w:r w:rsidR="00960D3A">
        <w:rPr>
          <w:rFonts w:ascii="Times New Roman" w:hAnsi="Times New Roman" w:cs="Times New Roman"/>
          <w:sz w:val="24"/>
          <w:szCs w:val="24"/>
          <w:lang w:val="en-US"/>
        </w:rPr>
        <w:t>Poerwokerto</w:t>
      </w:r>
      <w:proofErr w:type="spellEnd"/>
      <w:r w:rsidR="00960D3A">
        <w:rPr>
          <w:rFonts w:ascii="Times New Roman" w:hAnsi="Times New Roman" w:cs="Times New Roman"/>
          <w:sz w:val="24"/>
          <w:szCs w:val="24"/>
          <w:lang w:val="en-US"/>
        </w:rPr>
        <w:t xml:space="preserve"> registering a rate of 22 per cent in 1920 and Banda lavishly paying out 117 per cent in 1935 (both after adjustment).</w:t>
      </w:r>
    </w:p>
    <w:p w:rsidR="00960D3A" w:rsidRDefault="00960D3A" w:rsidP="00CE4EA2">
      <w:pPr>
        <w:spacing w:line="360" w:lineRule="auto"/>
        <w:ind w:firstLine="284"/>
        <w:jc w:val="both"/>
        <w:rPr>
          <w:rFonts w:ascii="Times New Roman" w:hAnsi="Times New Roman" w:cs="Times New Roman"/>
          <w:sz w:val="24"/>
          <w:szCs w:val="24"/>
          <w:lang w:val="en-US"/>
        </w:rPr>
      </w:pPr>
    </w:p>
    <w:p w:rsidR="00960D3A" w:rsidRDefault="00960D3A" w:rsidP="00960D3A">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Conclusion</w:t>
      </w:r>
    </w:p>
    <w:p w:rsidR="006D4E48" w:rsidRDefault="00CD76B3" w:rsidP="00960D3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Investment by private Dutch companies in Indonesia in colonial times continues to stir up controversy and emotions among historians. Were the profits made by these firms exorbitantly high or not? This paper offers a brief digression on that topic, reviewing the historiography and methodological pitfalls as well as presenting new results. </w:t>
      </w:r>
    </w:p>
    <w:p w:rsidR="000C24E1" w:rsidRDefault="00CD76B3" w:rsidP="00CD76B3">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survey of the historiography makes clear that explorations so far have generally been of a tentative nature, primarily because of the difficulty in finding and interpreting the appropriate source material. </w:t>
      </w:r>
      <w:r w:rsidR="000C24E1">
        <w:rPr>
          <w:rFonts w:ascii="Times New Roman" w:hAnsi="Times New Roman" w:cs="Times New Roman"/>
          <w:sz w:val="24"/>
          <w:szCs w:val="24"/>
          <w:lang w:val="en-US"/>
        </w:rPr>
        <w:t xml:space="preserve">The discussion of methodological matters reaffirms the necessity not to take dividend rates at face value but to adjust such rates for simultaneous changes in the value of equity upon which the dividends are based. A major difficulty is to construct a large enough sample that lends itself for adjustment of stated dividend rates. This difficulty is overcome here by a juxtaposition of two primary sources: the </w:t>
      </w:r>
      <w:proofErr w:type="spellStart"/>
      <w:r w:rsidR="000C24E1" w:rsidRPr="000C24E1">
        <w:rPr>
          <w:rFonts w:ascii="Times New Roman" w:hAnsi="Times New Roman" w:cs="Times New Roman"/>
          <w:i/>
          <w:sz w:val="24"/>
          <w:szCs w:val="24"/>
          <w:lang w:val="en-US"/>
        </w:rPr>
        <w:t>Handboek</w:t>
      </w:r>
      <w:proofErr w:type="spellEnd"/>
      <w:r w:rsidR="000C24E1">
        <w:rPr>
          <w:rFonts w:ascii="Times New Roman" w:hAnsi="Times New Roman" w:cs="Times New Roman"/>
          <w:sz w:val="24"/>
          <w:szCs w:val="24"/>
          <w:lang w:val="en-US"/>
        </w:rPr>
        <w:t xml:space="preserve"> directory of incorporated firms in colonial Indonesia and listings for some colonial companies at the Amsterdam Stock Exchange. </w:t>
      </w:r>
    </w:p>
    <w:p w:rsidR="000963C5" w:rsidRDefault="000C24E1" w:rsidP="00CD76B3">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Results show dividend rates, adjusted for changes in equity value, at an overall average of </w:t>
      </w:r>
      <w:r w:rsidR="00C039C1">
        <w:rPr>
          <w:rFonts w:ascii="Times New Roman" w:hAnsi="Times New Roman" w:cs="Times New Roman"/>
          <w:sz w:val="24"/>
          <w:szCs w:val="24"/>
          <w:lang w:val="en-US"/>
        </w:rPr>
        <w:t xml:space="preserve">9.3 per cent calculated over seven years of observation at five-year intervals between 1910 and 1940. This figure </w:t>
      </w:r>
      <w:r w:rsidR="00C039C1">
        <w:rPr>
          <w:rFonts w:ascii="Times New Roman" w:hAnsi="Times New Roman" w:cs="Times New Roman"/>
          <w:sz w:val="24"/>
          <w:szCs w:val="24"/>
          <w:lang w:val="en-US"/>
        </w:rPr>
        <w:lastRenderedPageBreak/>
        <w:t xml:space="preserve">displayed a considerable variation by branch of industry. </w:t>
      </w:r>
      <w:r w:rsidR="000963C5">
        <w:rPr>
          <w:rFonts w:ascii="Times New Roman" w:hAnsi="Times New Roman" w:cs="Times New Roman"/>
          <w:sz w:val="24"/>
          <w:szCs w:val="24"/>
          <w:lang w:val="en-US"/>
        </w:rPr>
        <w:t xml:space="preserve">Among the top export commodities, rubber scored better than sugar and oil, whereas coffee took the lead above tobacco and tea in other parts of export agriculture. Among services, banking scored far better than shipping, trading or land transport. However, it must be noted that the calculation of averages by branch are haunted by data limitations. </w:t>
      </w:r>
    </w:p>
    <w:p w:rsidR="000C24E1" w:rsidRDefault="00C039C1" w:rsidP="00CD76B3">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a full appreciation of the gains from investment by private firms in colonial Indonesia, it </w:t>
      </w:r>
      <w:r w:rsidR="000963C5">
        <w:rPr>
          <w:rFonts w:ascii="Times New Roman" w:hAnsi="Times New Roman" w:cs="Times New Roman"/>
          <w:sz w:val="24"/>
          <w:szCs w:val="24"/>
          <w:lang w:val="en-US"/>
        </w:rPr>
        <w:t xml:space="preserve">would be </w:t>
      </w:r>
      <w:r>
        <w:rPr>
          <w:rFonts w:ascii="Times New Roman" w:hAnsi="Times New Roman" w:cs="Times New Roman"/>
          <w:sz w:val="24"/>
          <w:szCs w:val="24"/>
          <w:lang w:val="en-US"/>
        </w:rPr>
        <w:t>necessary to incorporate also evidence on the spectacular ups and downs in the value of stocks</w:t>
      </w:r>
      <w:r w:rsidR="000963C5">
        <w:rPr>
          <w:rFonts w:ascii="Times New Roman" w:hAnsi="Times New Roman" w:cs="Times New Roman"/>
          <w:sz w:val="24"/>
          <w:szCs w:val="24"/>
          <w:lang w:val="en-US"/>
        </w:rPr>
        <w:t>. These were p</w:t>
      </w:r>
      <w:r>
        <w:rPr>
          <w:rFonts w:ascii="Times New Roman" w:hAnsi="Times New Roman" w:cs="Times New Roman"/>
          <w:sz w:val="24"/>
          <w:szCs w:val="24"/>
          <w:lang w:val="en-US"/>
        </w:rPr>
        <w:t xml:space="preserve">otential gains </w:t>
      </w:r>
      <w:r w:rsidR="000963C5">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losses </w:t>
      </w:r>
      <w:r w:rsidR="000963C5">
        <w:rPr>
          <w:rFonts w:ascii="Times New Roman" w:hAnsi="Times New Roman" w:cs="Times New Roman"/>
          <w:sz w:val="24"/>
          <w:szCs w:val="24"/>
          <w:lang w:val="en-US"/>
        </w:rPr>
        <w:t>that would only materialize when the shareholder sold stock.</w:t>
      </w:r>
      <w:r>
        <w:rPr>
          <w:rFonts w:ascii="Times New Roman" w:hAnsi="Times New Roman" w:cs="Times New Roman"/>
          <w:sz w:val="24"/>
          <w:szCs w:val="24"/>
          <w:lang w:val="en-US"/>
        </w:rPr>
        <w:t xml:space="preserve"> </w:t>
      </w:r>
    </w:p>
    <w:p w:rsidR="00C039C1" w:rsidRDefault="000963C5" w:rsidP="00C039C1">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Returning to the initial question: Were rates of return, as indicated by adjusted dividend rates, exorbitant? The average cited, 9.3 per cent over the period 1910-1940, is higher than the 6 per cent that shareholders normally would expect as a direct cash return on stocks. Yet, </w:t>
      </w:r>
      <w:r w:rsidR="00C039C1">
        <w:rPr>
          <w:rFonts w:ascii="Times New Roman" w:hAnsi="Times New Roman" w:cs="Times New Roman"/>
          <w:sz w:val="24"/>
          <w:szCs w:val="24"/>
          <w:lang w:val="en-US"/>
        </w:rPr>
        <w:t xml:space="preserve">the difference </w:t>
      </w:r>
      <w:r>
        <w:rPr>
          <w:rFonts w:ascii="Times New Roman" w:hAnsi="Times New Roman" w:cs="Times New Roman"/>
          <w:sz w:val="24"/>
          <w:szCs w:val="24"/>
          <w:lang w:val="en-US"/>
        </w:rPr>
        <w:t xml:space="preserve">appears </w:t>
      </w:r>
      <w:r w:rsidR="00C039C1">
        <w:rPr>
          <w:rFonts w:ascii="Times New Roman" w:hAnsi="Times New Roman" w:cs="Times New Roman"/>
          <w:sz w:val="24"/>
          <w:szCs w:val="24"/>
          <w:lang w:val="en-US"/>
        </w:rPr>
        <w:t xml:space="preserve">too small to </w:t>
      </w:r>
      <w:r>
        <w:rPr>
          <w:rFonts w:ascii="Times New Roman" w:hAnsi="Times New Roman" w:cs="Times New Roman"/>
          <w:sz w:val="24"/>
          <w:szCs w:val="24"/>
          <w:lang w:val="en-US"/>
        </w:rPr>
        <w:t>warrant an assertion that rates of return were in any way exorbitant.</w:t>
      </w:r>
      <w:r w:rsidR="00C039C1">
        <w:rPr>
          <w:rFonts w:ascii="Times New Roman" w:hAnsi="Times New Roman" w:cs="Times New Roman"/>
          <w:sz w:val="24"/>
          <w:szCs w:val="24"/>
          <w:lang w:val="en-US"/>
        </w:rPr>
        <w:t xml:space="preserve"> Colonial business was perhaps more profitable than other investment, but not that much more so.</w:t>
      </w:r>
    </w:p>
    <w:p w:rsidR="00C039C1" w:rsidRDefault="00C039C1" w:rsidP="00CD76B3">
      <w:pPr>
        <w:spacing w:line="360" w:lineRule="auto"/>
        <w:ind w:firstLine="284"/>
        <w:jc w:val="both"/>
        <w:rPr>
          <w:rFonts w:ascii="Times New Roman" w:hAnsi="Times New Roman" w:cs="Times New Roman"/>
          <w:sz w:val="24"/>
          <w:szCs w:val="24"/>
          <w:lang w:val="en-US"/>
        </w:rPr>
      </w:pPr>
      <w:bookmarkStart w:id="0" w:name="_GoBack"/>
      <w:bookmarkEnd w:id="0"/>
    </w:p>
    <w:p w:rsidR="000C24E1" w:rsidRDefault="000C24E1" w:rsidP="00CD76B3">
      <w:pPr>
        <w:spacing w:line="360" w:lineRule="auto"/>
        <w:ind w:firstLine="284"/>
        <w:jc w:val="both"/>
        <w:rPr>
          <w:rFonts w:ascii="Times New Roman" w:hAnsi="Times New Roman" w:cs="Times New Roman"/>
          <w:sz w:val="24"/>
          <w:szCs w:val="24"/>
          <w:lang w:val="en-US"/>
        </w:rPr>
      </w:pPr>
    </w:p>
    <w:p w:rsidR="00CD76B3" w:rsidRDefault="000C24E1" w:rsidP="00CD76B3">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D76B3">
        <w:rPr>
          <w:rFonts w:ascii="Times New Roman" w:hAnsi="Times New Roman" w:cs="Times New Roman"/>
          <w:sz w:val="24"/>
          <w:szCs w:val="24"/>
          <w:lang w:val="en-US"/>
        </w:rPr>
        <w:t xml:space="preserve"> </w:t>
      </w:r>
    </w:p>
    <w:p w:rsidR="006D0BB4" w:rsidRDefault="00B7179C" w:rsidP="006D4E48">
      <w:pPr>
        <w:spacing w:line="360" w:lineRule="auto"/>
        <w:ind w:firstLine="284"/>
        <w:jc w:val="both"/>
        <w:rPr>
          <w:rFonts w:ascii="Times New Roman" w:hAnsi="Times New Roman" w:cs="Times New Roman"/>
          <w:i/>
          <w:sz w:val="24"/>
          <w:szCs w:val="24"/>
          <w:lang w:val="en-US"/>
        </w:rPr>
      </w:pPr>
      <w:r w:rsidRPr="00446B63">
        <w:rPr>
          <w:rFonts w:ascii="Times New Roman" w:hAnsi="Times New Roman" w:cs="Times New Roman"/>
          <w:i/>
          <w:sz w:val="24"/>
          <w:szCs w:val="24"/>
          <w:lang w:val="en-US"/>
        </w:rPr>
        <w:br w:type="page"/>
      </w:r>
      <w:r w:rsidR="006D0BB4">
        <w:rPr>
          <w:rFonts w:ascii="Times New Roman" w:hAnsi="Times New Roman" w:cs="Times New Roman"/>
          <w:i/>
          <w:sz w:val="24"/>
          <w:szCs w:val="24"/>
          <w:lang w:val="en-US"/>
        </w:rPr>
        <w:lastRenderedPageBreak/>
        <w:t xml:space="preserve">Table 1. Coverage of firms reporting non-zero dividends and carrying a listing on the Amsterdam Stock Exchange, 1910-1940. </w:t>
      </w:r>
    </w:p>
    <w:tbl>
      <w:tblPr>
        <w:tblStyle w:val="TableGrid"/>
        <w:tblW w:w="0" w:type="auto"/>
        <w:tblLook w:val="04A0" w:firstRow="1" w:lastRow="0" w:firstColumn="1" w:lastColumn="0" w:noHBand="0" w:noVBand="1"/>
      </w:tblPr>
      <w:tblGrid>
        <w:gridCol w:w="2068"/>
        <w:gridCol w:w="2069"/>
        <w:gridCol w:w="2069"/>
        <w:gridCol w:w="2069"/>
        <w:gridCol w:w="2069"/>
      </w:tblGrid>
      <w:tr w:rsidR="006D0BB4" w:rsidRPr="00CD76B3" w:rsidTr="006D0BB4">
        <w:tc>
          <w:tcPr>
            <w:tcW w:w="2068" w:type="dxa"/>
          </w:tcPr>
          <w:p w:rsidR="006D0BB4" w:rsidRDefault="006D0BB4">
            <w:pPr>
              <w:rPr>
                <w:rFonts w:ascii="Times New Roman" w:hAnsi="Times New Roman" w:cs="Times New Roman"/>
                <w:sz w:val="24"/>
                <w:szCs w:val="24"/>
                <w:lang w:val="en-US"/>
              </w:rPr>
            </w:pP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All firms</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Dutch firms reporting non-zero dividends</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Of which listed on Amsterdam Stock Exchange</w:t>
            </w:r>
          </w:p>
        </w:tc>
        <w:tc>
          <w:tcPr>
            <w:tcW w:w="2069" w:type="dxa"/>
          </w:tcPr>
          <w:p w:rsidR="006D0BB4" w:rsidRDefault="002306DE">
            <w:pPr>
              <w:rPr>
                <w:rFonts w:ascii="Times New Roman" w:hAnsi="Times New Roman" w:cs="Times New Roman"/>
                <w:sz w:val="24"/>
                <w:szCs w:val="24"/>
                <w:lang w:val="en-US"/>
              </w:rPr>
            </w:pPr>
            <w:r>
              <w:rPr>
                <w:rFonts w:ascii="Times New Roman" w:hAnsi="Times New Roman" w:cs="Times New Roman"/>
                <w:sz w:val="24"/>
                <w:szCs w:val="24"/>
                <w:lang w:val="en-US"/>
              </w:rPr>
              <w:t>Average</w:t>
            </w:r>
            <w:r w:rsidR="006D0BB4">
              <w:rPr>
                <w:rFonts w:ascii="Times New Roman" w:hAnsi="Times New Roman" w:cs="Times New Roman"/>
                <w:sz w:val="24"/>
                <w:szCs w:val="24"/>
                <w:lang w:val="en-US"/>
              </w:rPr>
              <w:t xml:space="preserve"> nominal equity (mill. gld.)</w:t>
            </w:r>
          </w:p>
        </w:tc>
      </w:tr>
      <w:tr w:rsidR="006D0BB4" w:rsidTr="006D0BB4">
        <w:tc>
          <w:tcPr>
            <w:tcW w:w="2068"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1910</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2059</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420</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 xml:space="preserve">  74</w:t>
            </w:r>
          </w:p>
        </w:tc>
        <w:tc>
          <w:tcPr>
            <w:tcW w:w="2069" w:type="dxa"/>
          </w:tcPr>
          <w:p w:rsidR="006D0BB4" w:rsidRDefault="006D0BB4" w:rsidP="002306DE">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306DE">
              <w:rPr>
                <w:rFonts w:ascii="Times New Roman" w:hAnsi="Times New Roman" w:cs="Times New Roman"/>
                <w:sz w:val="24"/>
                <w:szCs w:val="24"/>
                <w:lang w:val="en-US"/>
              </w:rPr>
              <w:t xml:space="preserve">  6.2</w:t>
            </w:r>
          </w:p>
        </w:tc>
      </w:tr>
      <w:tr w:rsidR="006D0BB4" w:rsidTr="006D0BB4">
        <w:tc>
          <w:tcPr>
            <w:tcW w:w="2068"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1915</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3008</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403</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 xml:space="preserve">  75</w:t>
            </w:r>
          </w:p>
        </w:tc>
        <w:tc>
          <w:tcPr>
            <w:tcW w:w="2069" w:type="dxa"/>
          </w:tcPr>
          <w:p w:rsidR="006D0BB4" w:rsidRDefault="006D0BB4" w:rsidP="002306DE">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306DE">
              <w:rPr>
                <w:rFonts w:ascii="Times New Roman" w:hAnsi="Times New Roman" w:cs="Times New Roman"/>
                <w:sz w:val="24"/>
                <w:szCs w:val="24"/>
                <w:lang w:val="en-US"/>
              </w:rPr>
              <w:t xml:space="preserve">  9.2</w:t>
            </w:r>
          </w:p>
        </w:tc>
      </w:tr>
      <w:tr w:rsidR="006D0BB4" w:rsidTr="006D0BB4">
        <w:tc>
          <w:tcPr>
            <w:tcW w:w="2068"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1920</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3736</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552</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 xml:space="preserve">  93</w:t>
            </w:r>
          </w:p>
        </w:tc>
        <w:tc>
          <w:tcPr>
            <w:tcW w:w="2069" w:type="dxa"/>
          </w:tcPr>
          <w:p w:rsidR="006D0BB4" w:rsidRDefault="006D0BB4" w:rsidP="002306DE">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306DE">
              <w:rPr>
                <w:rFonts w:ascii="Times New Roman" w:hAnsi="Times New Roman" w:cs="Times New Roman"/>
                <w:sz w:val="24"/>
                <w:szCs w:val="24"/>
                <w:lang w:val="en-US"/>
              </w:rPr>
              <w:t>10.1</w:t>
            </w:r>
          </w:p>
        </w:tc>
      </w:tr>
      <w:tr w:rsidR="006D0BB4" w:rsidTr="006D0BB4">
        <w:tc>
          <w:tcPr>
            <w:tcW w:w="2068"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1925</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3497</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391</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102</w:t>
            </w:r>
          </w:p>
        </w:tc>
        <w:tc>
          <w:tcPr>
            <w:tcW w:w="2069" w:type="dxa"/>
          </w:tcPr>
          <w:p w:rsidR="006D0BB4" w:rsidRDefault="002306DE" w:rsidP="002306DE">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D0BB4">
              <w:rPr>
                <w:rFonts w:ascii="Times New Roman" w:hAnsi="Times New Roman" w:cs="Times New Roman"/>
                <w:sz w:val="24"/>
                <w:szCs w:val="24"/>
                <w:lang w:val="en-US"/>
              </w:rPr>
              <w:t>10</w:t>
            </w:r>
            <w:r>
              <w:rPr>
                <w:rFonts w:ascii="Times New Roman" w:hAnsi="Times New Roman" w:cs="Times New Roman"/>
                <w:sz w:val="24"/>
                <w:szCs w:val="24"/>
                <w:lang w:val="en-US"/>
              </w:rPr>
              <w:t>.4</w:t>
            </w:r>
          </w:p>
        </w:tc>
      </w:tr>
      <w:tr w:rsidR="006D0BB4" w:rsidTr="006D0BB4">
        <w:tc>
          <w:tcPr>
            <w:tcW w:w="2068"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1930</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2854</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487</w:t>
            </w:r>
          </w:p>
        </w:tc>
        <w:tc>
          <w:tcPr>
            <w:tcW w:w="2069" w:type="dxa"/>
          </w:tcPr>
          <w:p w:rsidR="006D0BB4" w:rsidRDefault="003C34C7" w:rsidP="003C34C7">
            <w:pPr>
              <w:rPr>
                <w:rFonts w:ascii="Times New Roman" w:hAnsi="Times New Roman" w:cs="Times New Roman"/>
                <w:sz w:val="24"/>
                <w:szCs w:val="24"/>
                <w:lang w:val="en-US"/>
              </w:rPr>
            </w:pPr>
            <w:r>
              <w:rPr>
                <w:rFonts w:ascii="Times New Roman" w:hAnsi="Times New Roman" w:cs="Times New Roman"/>
                <w:sz w:val="24"/>
                <w:szCs w:val="24"/>
                <w:lang w:val="en-US"/>
              </w:rPr>
              <w:t>140</w:t>
            </w:r>
          </w:p>
        </w:tc>
        <w:tc>
          <w:tcPr>
            <w:tcW w:w="2069" w:type="dxa"/>
          </w:tcPr>
          <w:p w:rsidR="006D0BB4" w:rsidRDefault="002306DE" w:rsidP="002306DE">
            <w:pPr>
              <w:rPr>
                <w:rFonts w:ascii="Times New Roman" w:hAnsi="Times New Roman" w:cs="Times New Roman"/>
                <w:sz w:val="24"/>
                <w:szCs w:val="24"/>
                <w:lang w:val="en-US"/>
              </w:rPr>
            </w:pPr>
            <w:r>
              <w:rPr>
                <w:rFonts w:ascii="Times New Roman" w:hAnsi="Times New Roman" w:cs="Times New Roman"/>
                <w:sz w:val="24"/>
                <w:szCs w:val="24"/>
                <w:lang w:val="en-US"/>
              </w:rPr>
              <w:t xml:space="preserve">  16.7</w:t>
            </w:r>
          </w:p>
        </w:tc>
      </w:tr>
      <w:tr w:rsidR="006D0BB4" w:rsidTr="006D0BB4">
        <w:tc>
          <w:tcPr>
            <w:tcW w:w="2068"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1935</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1884</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196</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 xml:space="preserve">  38</w:t>
            </w:r>
          </w:p>
        </w:tc>
        <w:tc>
          <w:tcPr>
            <w:tcW w:w="2069" w:type="dxa"/>
          </w:tcPr>
          <w:p w:rsidR="006D0BB4" w:rsidRDefault="006D0BB4" w:rsidP="002306DE">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306DE">
              <w:rPr>
                <w:rFonts w:ascii="Times New Roman" w:hAnsi="Times New Roman" w:cs="Times New Roman"/>
                <w:sz w:val="24"/>
                <w:szCs w:val="24"/>
                <w:lang w:val="en-US"/>
              </w:rPr>
              <w:t>15.7</w:t>
            </w:r>
          </w:p>
        </w:tc>
      </w:tr>
      <w:tr w:rsidR="006D0BB4" w:rsidTr="006D0BB4">
        <w:tc>
          <w:tcPr>
            <w:tcW w:w="2068"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1940</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2156</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356</w:t>
            </w:r>
          </w:p>
        </w:tc>
        <w:tc>
          <w:tcPr>
            <w:tcW w:w="2069" w:type="dxa"/>
          </w:tcPr>
          <w:p w:rsid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 xml:space="preserve">  98</w:t>
            </w:r>
          </w:p>
        </w:tc>
        <w:tc>
          <w:tcPr>
            <w:tcW w:w="2069" w:type="dxa"/>
          </w:tcPr>
          <w:p w:rsidR="006D0BB4" w:rsidRDefault="002306DE" w:rsidP="002306DE">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D0BB4">
              <w:rPr>
                <w:rFonts w:ascii="Times New Roman" w:hAnsi="Times New Roman" w:cs="Times New Roman"/>
                <w:sz w:val="24"/>
                <w:szCs w:val="24"/>
                <w:lang w:val="en-US"/>
              </w:rPr>
              <w:t>15</w:t>
            </w:r>
            <w:r>
              <w:rPr>
                <w:rFonts w:ascii="Times New Roman" w:hAnsi="Times New Roman" w:cs="Times New Roman"/>
                <w:sz w:val="24"/>
                <w:szCs w:val="24"/>
                <w:lang w:val="en-US"/>
              </w:rPr>
              <w:t>.6</w:t>
            </w:r>
          </w:p>
        </w:tc>
      </w:tr>
    </w:tbl>
    <w:p w:rsidR="006D0BB4" w:rsidRPr="006D0BB4" w:rsidRDefault="006D0BB4">
      <w:pPr>
        <w:rPr>
          <w:rFonts w:ascii="Times New Roman" w:hAnsi="Times New Roman" w:cs="Times New Roman"/>
          <w:sz w:val="24"/>
          <w:szCs w:val="24"/>
          <w:lang w:val="en-US"/>
        </w:rPr>
      </w:pPr>
      <w:r>
        <w:rPr>
          <w:rFonts w:ascii="Times New Roman" w:hAnsi="Times New Roman" w:cs="Times New Roman"/>
          <w:sz w:val="24"/>
          <w:szCs w:val="24"/>
          <w:lang w:val="en-US"/>
        </w:rPr>
        <w:t xml:space="preserve">Sources: </w:t>
      </w:r>
      <w:proofErr w:type="spellStart"/>
      <w:r w:rsidRPr="006D0BB4">
        <w:rPr>
          <w:rFonts w:ascii="Times New Roman" w:hAnsi="Times New Roman" w:cs="Times New Roman"/>
          <w:i/>
          <w:sz w:val="24"/>
          <w:szCs w:val="24"/>
          <w:lang w:val="en-US"/>
        </w:rPr>
        <w:t>Handboek</w:t>
      </w:r>
      <w:proofErr w:type="spellEnd"/>
      <w:r>
        <w:rPr>
          <w:rFonts w:ascii="Times New Roman" w:hAnsi="Times New Roman" w:cs="Times New Roman"/>
          <w:sz w:val="24"/>
          <w:szCs w:val="24"/>
          <w:lang w:val="en-US"/>
        </w:rPr>
        <w:t xml:space="preserve"> 1910-1940; </w:t>
      </w:r>
      <w:proofErr w:type="spellStart"/>
      <w:r w:rsidR="00F056C1">
        <w:rPr>
          <w:rFonts w:ascii="Times New Roman" w:hAnsi="Times New Roman" w:cs="Times New Roman"/>
          <w:sz w:val="24"/>
          <w:szCs w:val="24"/>
          <w:lang w:val="en-US"/>
        </w:rPr>
        <w:t>Stichting</w:t>
      </w:r>
      <w:proofErr w:type="spellEnd"/>
      <w:r w:rsidR="00F056C1">
        <w:rPr>
          <w:rFonts w:ascii="Times New Roman" w:hAnsi="Times New Roman" w:cs="Times New Roman"/>
          <w:sz w:val="24"/>
          <w:szCs w:val="24"/>
          <w:lang w:val="en-US"/>
        </w:rPr>
        <w:t xml:space="preserve"> Capital Amsterdam: ‘</w:t>
      </w:r>
      <w:proofErr w:type="spellStart"/>
      <w:r w:rsidR="002306DE">
        <w:rPr>
          <w:rFonts w:ascii="Times New Roman" w:hAnsi="Times New Roman" w:cs="Times New Roman"/>
          <w:sz w:val="24"/>
          <w:szCs w:val="24"/>
          <w:lang w:val="en-US"/>
        </w:rPr>
        <w:t>P</w:t>
      </w:r>
      <w:r w:rsidR="00F056C1">
        <w:rPr>
          <w:rFonts w:ascii="Times New Roman" w:hAnsi="Times New Roman" w:cs="Times New Roman"/>
          <w:sz w:val="24"/>
          <w:szCs w:val="24"/>
          <w:lang w:val="en-US"/>
        </w:rPr>
        <w:t>rijs-couranten</w:t>
      </w:r>
      <w:proofErr w:type="spellEnd"/>
      <w:r w:rsidR="00F056C1">
        <w:rPr>
          <w:rFonts w:ascii="Times New Roman" w:hAnsi="Times New Roman" w:cs="Times New Roman"/>
          <w:sz w:val="24"/>
          <w:szCs w:val="24"/>
          <w:lang w:val="en-US"/>
        </w:rPr>
        <w:t>’</w:t>
      </w:r>
      <w:r w:rsidR="002306DE">
        <w:rPr>
          <w:rFonts w:ascii="Times New Roman" w:hAnsi="Times New Roman" w:cs="Times New Roman"/>
          <w:sz w:val="24"/>
          <w:szCs w:val="24"/>
          <w:lang w:val="en-US"/>
        </w:rPr>
        <w:t xml:space="preserve"> 1910-1940</w:t>
      </w:r>
      <w:r w:rsidR="00F056C1">
        <w:rPr>
          <w:rFonts w:ascii="Times New Roman" w:hAnsi="Times New Roman" w:cs="Times New Roman"/>
          <w:sz w:val="24"/>
          <w:szCs w:val="24"/>
          <w:lang w:val="en-US"/>
        </w:rPr>
        <w:t xml:space="preserve">. </w:t>
      </w:r>
    </w:p>
    <w:p w:rsidR="00E55461" w:rsidRDefault="006D0BB4">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p w:rsidR="00E55461" w:rsidRPr="00E55461" w:rsidRDefault="00E55461" w:rsidP="00E55461">
      <w:pPr>
        <w:spacing w:line="360" w:lineRule="auto"/>
        <w:rPr>
          <w:rFonts w:ascii="Times New Roman" w:hAnsi="Times New Roman" w:cs="Times New Roman"/>
          <w:i/>
          <w:sz w:val="24"/>
          <w:szCs w:val="24"/>
          <w:lang w:val="en-US"/>
        </w:rPr>
      </w:pPr>
      <w:r w:rsidRPr="00E55461">
        <w:rPr>
          <w:rFonts w:ascii="Times New Roman" w:hAnsi="Times New Roman" w:cs="Times New Roman"/>
          <w:i/>
          <w:sz w:val="24"/>
          <w:szCs w:val="24"/>
          <w:lang w:val="en-US"/>
        </w:rPr>
        <w:t xml:space="preserve">Table 2. Aggregate dividend payout and potential total gain from Dutch business in colonial Indonesia, 1910-1940. </w:t>
      </w:r>
    </w:p>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bl>
      <w:tblPr>
        <w:tblStyle w:val="TableGrid"/>
        <w:tblW w:w="0" w:type="auto"/>
        <w:tblLook w:val="04A0" w:firstRow="1" w:lastRow="0" w:firstColumn="1" w:lastColumn="0" w:noHBand="0" w:noVBand="1"/>
      </w:tblPr>
      <w:tblGrid>
        <w:gridCol w:w="2068"/>
        <w:gridCol w:w="2069"/>
        <w:gridCol w:w="2069"/>
        <w:gridCol w:w="2069"/>
        <w:gridCol w:w="2069"/>
      </w:tblGrid>
      <w:tr w:rsidR="00E55461" w:rsidTr="00E55461">
        <w:tc>
          <w:tcPr>
            <w:tcW w:w="2068" w:type="dxa"/>
          </w:tcPr>
          <w:p w:rsidR="00E55461" w:rsidRDefault="00E55461">
            <w:pPr>
              <w:rPr>
                <w:rFonts w:ascii="Times New Roman" w:hAnsi="Times New Roman" w:cs="Times New Roman"/>
                <w:sz w:val="24"/>
                <w:szCs w:val="24"/>
                <w:lang w:val="en-US"/>
              </w:rPr>
            </w:pPr>
          </w:p>
        </w:tc>
        <w:tc>
          <w:tcPr>
            <w:tcW w:w="2069" w:type="dxa"/>
          </w:tcPr>
          <w:p w:rsidR="00E55461" w:rsidRDefault="00E55461" w:rsidP="00E55461">
            <w:pPr>
              <w:rPr>
                <w:rFonts w:ascii="Times New Roman" w:hAnsi="Times New Roman" w:cs="Times New Roman"/>
                <w:sz w:val="24"/>
                <w:szCs w:val="24"/>
                <w:lang w:val="en-US"/>
              </w:rPr>
            </w:pPr>
            <w:r>
              <w:rPr>
                <w:rFonts w:ascii="Times New Roman" w:hAnsi="Times New Roman" w:cs="Times New Roman"/>
                <w:sz w:val="24"/>
                <w:szCs w:val="24"/>
                <w:lang w:val="en-US"/>
              </w:rPr>
              <w:t>Total dividend payout (</w:t>
            </w:r>
            <w:proofErr w:type="spellStart"/>
            <w:r>
              <w:rPr>
                <w:rFonts w:ascii="Times New Roman" w:hAnsi="Times New Roman" w:cs="Times New Roman"/>
                <w:sz w:val="24"/>
                <w:szCs w:val="24"/>
                <w:lang w:val="en-US"/>
              </w:rPr>
              <w:t>mill.gld</w:t>
            </w:r>
            <w:proofErr w:type="spellEnd"/>
            <w:r>
              <w:rPr>
                <w:rFonts w:ascii="Times New Roman" w:hAnsi="Times New Roman" w:cs="Times New Roman"/>
                <w:sz w:val="24"/>
                <w:szCs w:val="24"/>
                <w:lang w:val="en-US"/>
              </w:rPr>
              <w:t>.)</w:t>
            </w:r>
          </w:p>
        </w:tc>
        <w:tc>
          <w:tcPr>
            <w:tcW w:w="2069"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Adjusted dividend rate (%)</w:t>
            </w:r>
          </w:p>
        </w:tc>
        <w:tc>
          <w:tcPr>
            <w:tcW w:w="2069" w:type="dxa"/>
          </w:tcPr>
          <w:p w:rsidR="00E55461" w:rsidRDefault="00E55461" w:rsidP="00E55461">
            <w:pPr>
              <w:rPr>
                <w:rFonts w:ascii="Times New Roman" w:hAnsi="Times New Roman" w:cs="Times New Roman"/>
                <w:sz w:val="24"/>
                <w:szCs w:val="24"/>
                <w:lang w:val="en-US"/>
              </w:rPr>
            </w:pPr>
            <w:r>
              <w:rPr>
                <w:rFonts w:ascii="Times New Roman" w:hAnsi="Times New Roman" w:cs="Times New Roman"/>
                <w:sz w:val="24"/>
                <w:szCs w:val="24"/>
                <w:lang w:val="en-US"/>
              </w:rPr>
              <w:t>Rate of share value gain (%)</w:t>
            </w:r>
          </w:p>
        </w:tc>
        <w:tc>
          <w:tcPr>
            <w:tcW w:w="2069"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Rate of total gain (%)</w:t>
            </w:r>
          </w:p>
        </w:tc>
      </w:tr>
      <w:tr w:rsidR="00E55461" w:rsidTr="00E55461">
        <w:tc>
          <w:tcPr>
            <w:tcW w:w="2068"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1910</w:t>
            </w:r>
          </w:p>
        </w:tc>
        <w:tc>
          <w:tcPr>
            <w:tcW w:w="2069"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 xml:space="preserve">  51.5</w:t>
            </w:r>
          </w:p>
        </w:tc>
        <w:tc>
          <w:tcPr>
            <w:tcW w:w="2069"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 xml:space="preserve">  7.9</w:t>
            </w:r>
          </w:p>
        </w:tc>
        <w:tc>
          <w:tcPr>
            <w:tcW w:w="2069" w:type="dxa"/>
          </w:tcPr>
          <w:p w:rsidR="00E55461" w:rsidRDefault="00BB6D58">
            <w:pPr>
              <w:rPr>
                <w:rFonts w:ascii="Times New Roman" w:hAnsi="Times New Roman" w:cs="Times New Roman"/>
                <w:sz w:val="24"/>
                <w:szCs w:val="24"/>
                <w:lang w:val="en-US"/>
              </w:rPr>
            </w:pPr>
            <w:r>
              <w:rPr>
                <w:rFonts w:ascii="Times New Roman" w:hAnsi="Times New Roman" w:cs="Times New Roman"/>
                <w:sz w:val="24"/>
                <w:szCs w:val="24"/>
                <w:lang w:val="en-US"/>
              </w:rPr>
              <w:t xml:space="preserve">   4.7</w:t>
            </w:r>
          </w:p>
        </w:tc>
        <w:tc>
          <w:tcPr>
            <w:tcW w:w="2069" w:type="dxa"/>
          </w:tcPr>
          <w:p w:rsidR="00E55461" w:rsidRDefault="00BB6D58">
            <w:pPr>
              <w:rPr>
                <w:rFonts w:ascii="Times New Roman" w:hAnsi="Times New Roman" w:cs="Times New Roman"/>
                <w:sz w:val="24"/>
                <w:szCs w:val="24"/>
                <w:lang w:val="en-US"/>
              </w:rPr>
            </w:pPr>
            <w:r>
              <w:rPr>
                <w:rFonts w:ascii="Times New Roman" w:hAnsi="Times New Roman" w:cs="Times New Roman"/>
                <w:sz w:val="24"/>
                <w:szCs w:val="24"/>
                <w:lang w:val="en-US"/>
              </w:rPr>
              <w:t xml:space="preserve"> 12.6</w:t>
            </w:r>
          </w:p>
        </w:tc>
      </w:tr>
      <w:tr w:rsidR="00E55461" w:rsidTr="00E55461">
        <w:tc>
          <w:tcPr>
            <w:tcW w:w="2068"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1915</w:t>
            </w:r>
          </w:p>
        </w:tc>
        <w:tc>
          <w:tcPr>
            <w:tcW w:w="2069"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 xml:space="preserve">  80.2</w:t>
            </w:r>
          </w:p>
        </w:tc>
        <w:tc>
          <w:tcPr>
            <w:tcW w:w="2069"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10.9</w:t>
            </w:r>
          </w:p>
        </w:tc>
        <w:tc>
          <w:tcPr>
            <w:tcW w:w="2069" w:type="dxa"/>
          </w:tcPr>
          <w:p w:rsidR="00E55461" w:rsidRDefault="00BB6D58">
            <w:pPr>
              <w:rPr>
                <w:rFonts w:ascii="Times New Roman" w:hAnsi="Times New Roman" w:cs="Times New Roman"/>
                <w:sz w:val="24"/>
                <w:szCs w:val="24"/>
                <w:lang w:val="en-US"/>
              </w:rPr>
            </w:pPr>
            <w:r>
              <w:rPr>
                <w:rFonts w:ascii="Times New Roman" w:hAnsi="Times New Roman" w:cs="Times New Roman"/>
                <w:sz w:val="24"/>
                <w:szCs w:val="24"/>
                <w:lang w:val="en-US"/>
              </w:rPr>
              <w:t xml:space="preserve"> 30.8</w:t>
            </w:r>
          </w:p>
        </w:tc>
        <w:tc>
          <w:tcPr>
            <w:tcW w:w="2069" w:type="dxa"/>
          </w:tcPr>
          <w:p w:rsidR="00E55461" w:rsidRDefault="00BB6D58">
            <w:pPr>
              <w:rPr>
                <w:rFonts w:ascii="Times New Roman" w:hAnsi="Times New Roman" w:cs="Times New Roman"/>
                <w:sz w:val="24"/>
                <w:szCs w:val="24"/>
                <w:lang w:val="en-US"/>
              </w:rPr>
            </w:pPr>
            <w:r>
              <w:rPr>
                <w:rFonts w:ascii="Times New Roman" w:hAnsi="Times New Roman" w:cs="Times New Roman"/>
                <w:sz w:val="24"/>
                <w:szCs w:val="24"/>
                <w:lang w:val="en-US"/>
              </w:rPr>
              <w:t xml:space="preserve"> 41.7</w:t>
            </w:r>
          </w:p>
        </w:tc>
      </w:tr>
      <w:tr w:rsidR="00E55461" w:rsidTr="00E55461">
        <w:tc>
          <w:tcPr>
            <w:tcW w:w="2068"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1920</w:t>
            </w:r>
          </w:p>
        </w:tc>
        <w:tc>
          <w:tcPr>
            <w:tcW w:w="2069"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203.5</w:t>
            </w:r>
          </w:p>
        </w:tc>
        <w:tc>
          <w:tcPr>
            <w:tcW w:w="2069"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 xml:space="preserve">  7.1</w:t>
            </w:r>
          </w:p>
        </w:tc>
        <w:tc>
          <w:tcPr>
            <w:tcW w:w="2069" w:type="dxa"/>
          </w:tcPr>
          <w:p w:rsidR="00E55461" w:rsidRDefault="00BB6D58">
            <w:pPr>
              <w:rPr>
                <w:rFonts w:ascii="Times New Roman" w:hAnsi="Times New Roman" w:cs="Times New Roman"/>
                <w:sz w:val="24"/>
                <w:szCs w:val="24"/>
                <w:lang w:val="en-US"/>
              </w:rPr>
            </w:pPr>
            <w:r>
              <w:rPr>
                <w:rFonts w:ascii="Times New Roman" w:hAnsi="Times New Roman" w:cs="Times New Roman"/>
                <w:sz w:val="24"/>
                <w:szCs w:val="24"/>
                <w:lang w:val="en-US"/>
              </w:rPr>
              <w:t>-22.3</w:t>
            </w:r>
          </w:p>
        </w:tc>
        <w:tc>
          <w:tcPr>
            <w:tcW w:w="2069" w:type="dxa"/>
          </w:tcPr>
          <w:p w:rsidR="00E55461" w:rsidRDefault="00BB6D58">
            <w:pPr>
              <w:rPr>
                <w:rFonts w:ascii="Times New Roman" w:hAnsi="Times New Roman" w:cs="Times New Roman"/>
                <w:sz w:val="24"/>
                <w:szCs w:val="24"/>
                <w:lang w:val="en-US"/>
              </w:rPr>
            </w:pPr>
            <w:r>
              <w:rPr>
                <w:rFonts w:ascii="Times New Roman" w:hAnsi="Times New Roman" w:cs="Times New Roman"/>
                <w:sz w:val="24"/>
                <w:szCs w:val="24"/>
                <w:lang w:val="en-US"/>
              </w:rPr>
              <w:t>-15.2</w:t>
            </w:r>
          </w:p>
        </w:tc>
      </w:tr>
      <w:tr w:rsidR="00E55461" w:rsidTr="00E55461">
        <w:tc>
          <w:tcPr>
            <w:tcW w:w="2068"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1925</w:t>
            </w:r>
          </w:p>
        </w:tc>
        <w:tc>
          <w:tcPr>
            <w:tcW w:w="2069"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159.8</w:t>
            </w:r>
          </w:p>
        </w:tc>
        <w:tc>
          <w:tcPr>
            <w:tcW w:w="2069"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 xml:space="preserve">  7.1</w:t>
            </w:r>
          </w:p>
        </w:tc>
        <w:tc>
          <w:tcPr>
            <w:tcW w:w="2069" w:type="dxa"/>
          </w:tcPr>
          <w:p w:rsidR="00E55461" w:rsidRDefault="00BB6D58">
            <w:pPr>
              <w:rPr>
                <w:rFonts w:ascii="Times New Roman" w:hAnsi="Times New Roman" w:cs="Times New Roman"/>
                <w:sz w:val="24"/>
                <w:szCs w:val="24"/>
                <w:lang w:val="en-US"/>
              </w:rPr>
            </w:pPr>
            <w:r>
              <w:rPr>
                <w:rFonts w:ascii="Times New Roman" w:hAnsi="Times New Roman" w:cs="Times New Roman"/>
                <w:sz w:val="24"/>
                <w:szCs w:val="24"/>
                <w:lang w:val="en-US"/>
              </w:rPr>
              <w:t xml:space="preserve"> 39.4</w:t>
            </w:r>
          </w:p>
        </w:tc>
        <w:tc>
          <w:tcPr>
            <w:tcW w:w="2069" w:type="dxa"/>
          </w:tcPr>
          <w:p w:rsidR="00E55461" w:rsidRDefault="00BB6D58">
            <w:pPr>
              <w:rPr>
                <w:rFonts w:ascii="Times New Roman" w:hAnsi="Times New Roman" w:cs="Times New Roman"/>
                <w:sz w:val="24"/>
                <w:szCs w:val="24"/>
                <w:lang w:val="en-US"/>
              </w:rPr>
            </w:pPr>
            <w:r>
              <w:rPr>
                <w:rFonts w:ascii="Times New Roman" w:hAnsi="Times New Roman" w:cs="Times New Roman"/>
                <w:sz w:val="24"/>
                <w:szCs w:val="24"/>
                <w:lang w:val="en-US"/>
              </w:rPr>
              <w:t xml:space="preserve"> 46.5</w:t>
            </w:r>
          </w:p>
        </w:tc>
      </w:tr>
      <w:tr w:rsidR="00E55461" w:rsidTr="00E55461">
        <w:tc>
          <w:tcPr>
            <w:tcW w:w="2068"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1930</w:t>
            </w:r>
          </w:p>
        </w:tc>
        <w:tc>
          <w:tcPr>
            <w:tcW w:w="2069"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252.2</w:t>
            </w:r>
          </w:p>
        </w:tc>
        <w:tc>
          <w:tcPr>
            <w:tcW w:w="2069"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12.7</w:t>
            </w:r>
          </w:p>
        </w:tc>
        <w:tc>
          <w:tcPr>
            <w:tcW w:w="2069" w:type="dxa"/>
          </w:tcPr>
          <w:p w:rsidR="00E55461" w:rsidRDefault="00BB6D58">
            <w:pPr>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2069" w:type="dxa"/>
          </w:tcPr>
          <w:p w:rsidR="00E55461" w:rsidRDefault="00BB6D58">
            <w:pPr>
              <w:rPr>
                <w:rFonts w:ascii="Times New Roman" w:hAnsi="Times New Roman" w:cs="Times New Roman"/>
                <w:sz w:val="24"/>
                <w:szCs w:val="24"/>
                <w:lang w:val="en-US"/>
              </w:rPr>
            </w:pPr>
            <w:r>
              <w:rPr>
                <w:rFonts w:ascii="Times New Roman" w:hAnsi="Times New Roman" w:cs="Times New Roman"/>
                <w:sz w:val="24"/>
                <w:szCs w:val="24"/>
                <w:lang w:val="en-US"/>
              </w:rPr>
              <w:t>-17.3</w:t>
            </w:r>
          </w:p>
        </w:tc>
      </w:tr>
      <w:tr w:rsidR="00E55461" w:rsidTr="00E55461">
        <w:tc>
          <w:tcPr>
            <w:tcW w:w="2068"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1935</w:t>
            </w:r>
          </w:p>
        </w:tc>
        <w:tc>
          <w:tcPr>
            <w:tcW w:w="2069"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 xml:space="preserve">  45.0</w:t>
            </w:r>
          </w:p>
        </w:tc>
        <w:tc>
          <w:tcPr>
            <w:tcW w:w="2069"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 xml:space="preserve">  9.5</w:t>
            </w:r>
          </w:p>
        </w:tc>
        <w:tc>
          <w:tcPr>
            <w:tcW w:w="2069" w:type="dxa"/>
          </w:tcPr>
          <w:p w:rsidR="00E55461" w:rsidRDefault="00BB6D58">
            <w:pPr>
              <w:rPr>
                <w:rFonts w:ascii="Times New Roman" w:hAnsi="Times New Roman" w:cs="Times New Roman"/>
                <w:sz w:val="24"/>
                <w:szCs w:val="24"/>
                <w:lang w:val="en-US"/>
              </w:rPr>
            </w:pPr>
            <w:r>
              <w:rPr>
                <w:rFonts w:ascii="Times New Roman" w:hAnsi="Times New Roman" w:cs="Times New Roman"/>
                <w:sz w:val="24"/>
                <w:szCs w:val="24"/>
                <w:lang w:val="en-US"/>
              </w:rPr>
              <w:t xml:space="preserve"> 12.8</w:t>
            </w:r>
          </w:p>
        </w:tc>
        <w:tc>
          <w:tcPr>
            <w:tcW w:w="2069" w:type="dxa"/>
          </w:tcPr>
          <w:p w:rsidR="00E55461" w:rsidRDefault="00BB6D58">
            <w:pPr>
              <w:rPr>
                <w:rFonts w:ascii="Times New Roman" w:hAnsi="Times New Roman" w:cs="Times New Roman"/>
                <w:sz w:val="24"/>
                <w:szCs w:val="24"/>
                <w:lang w:val="en-US"/>
              </w:rPr>
            </w:pPr>
            <w:r>
              <w:rPr>
                <w:rFonts w:ascii="Times New Roman" w:hAnsi="Times New Roman" w:cs="Times New Roman"/>
                <w:sz w:val="24"/>
                <w:szCs w:val="24"/>
                <w:lang w:val="en-US"/>
              </w:rPr>
              <w:t xml:space="preserve"> 22.4</w:t>
            </w:r>
          </w:p>
        </w:tc>
      </w:tr>
      <w:tr w:rsidR="00E55461" w:rsidTr="00E55461">
        <w:tc>
          <w:tcPr>
            <w:tcW w:w="2068"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1940</w:t>
            </w:r>
          </w:p>
        </w:tc>
        <w:tc>
          <w:tcPr>
            <w:tcW w:w="2069"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154.2</w:t>
            </w:r>
          </w:p>
        </w:tc>
        <w:tc>
          <w:tcPr>
            <w:tcW w:w="2069" w:type="dxa"/>
          </w:tcPr>
          <w:p w:rsidR="00E55461" w:rsidRDefault="00E55461">
            <w:pPr>
              <w:rPr>
                <w:rFonts w:ascii="Times New Roman" w:hAnsi="Times New Roman" w:cs="Times New Roman"/>
                <w:sz w:val="24"/>
                <w:szCs w:val="24"/>
                <w:lang w:val="en-US"/>
              </w:rPr>
            </w:pPr>
            <w:r>
              <w:rPr>
                <w:rFonts w:ascii="Times New Roman" w:hAnsi="Times New Roman" w:cs="Times New Roman"/>
                <w:sz w:val="24"/>
                <w:szCs w:val="24"/>
                <w:lang w:val="en-US"/>
              </w:rPr>
              <w:t xml:space="preserve">  5.8</w:t>
            </w:r>
          </w:p>
        </w:tc>
        <w:tc>
          <w:tcPr>
            <w:tcW w:w="2069" w:type="dxa"/>
          </w:tcPr>
          <w:p w:rsidR="00E55461" w:rsidRDefault="00BB6D58">
            <w:pPr>
              <w:rPr>
                <w:rFonts w:ascii="Times New Roman" w:hAnsi="Times New Roman" w:cs="Times New Roman"/>
                <w:sz w:val="24"/>
                <w:szCs w:val="24"/>
                <w:lang w:val="en-US"/>
              </w:rPr>
            </w:pPr>
            <w:r>
              <w:rPr>
                <w:rFonts w:ascii="Times New Roman" w:hAnsi="Times New Roman" w:cs="Times New Roman"/>
                <w:sz w:val="24"/>
                <w:szCs w:val="24"/>
                <w:lang w:val="en-US"/>
              </w:rPr>
              <w:t xml:space="preserve"> 25.9</w:t>
            </w:r>
          </w:p>
        </w:tc>
        <w:tc>
          <w:tcPr>
            <w:tcW w:w="2069" w:type="dxa"/>
          </w:tcPr>
          <w:p w:rsidR="00E55461" w:rsidRDefault="00BB6D58">
            <w:pPr>
              <w:rPr>
                <w:rFonts w:ascii="Times New Roman" w:hAnsi="Times New Roman" w:cs="Times New Roman"/>
                <w:sz w:val="24"/>
                <w:szCs w:val="24"/>
                <w:lang w:val="en-US"/>
              </w:rPr>
            </w:pPr>
            <w:r>
              <w:rPr>
                <w:rFonts w:ascii="Times New Roman" w:hAnsi="Times New Roman" w:cs="Times New Roman"/>
                <w:sz w:val="24"/>
                <w:szCs w:val="24"/>
                <w:lang w:val="en-US"/>
              </w:rPr>
              <w:t xml:space="preserve"> 31.7</w:t>
            </w:r>
          </w:p>
        </w:tc>
      </w:tr>
    </w:tbl>
    <w:p w:rsidR="00EB48B6" w:rsidRDefault="00E55461">
      <w:pPr>
        <w:rPr>
          <w:rFonts w:ascii="Times New Roman" w:hAnsi="Times New Roman" w:cs="Times New Roman"/>
          <w:sz w:val="24"/>
          <w:szCs w:val="24"/>
          <w:lang w:val="en-US"/>
        </w:rPr>
      </w:pPr>
      <w:r>
        <w:rPr>
          <w:rFonts w:ascii="Times New Roman" w:hAnsi="Times New Roman" w:cs="Times New Roman"/>
          <w:sz w:val="24"/>
          <w:szCs w:val="24"/>
          <w:lang w:val="en-US"/>
        </w:rPr>
        <w:t xml:space="preserve">Sources: </w:t>
      </w:r>
      <w:proofErr w:type="spellStart"/>
      <w:r w:rsidRPr="006D0BB4">
        <w:rPr>
          <w:rFonts w:ascii="Times New Roman" w:hAnsi="Times New Roman" w:cs="Times New Roman"/>
          <w:i/>
          <w:sz w:val="24"/>
          <w:szCs w:val="24"/>
          <w:lang w:val="en-US"/>
        </w:rPr>
        <w:t>Handboek</w:t>
      </w:r>
      <w:proofErr w:type="spellEnd"/>
      <w:r>
        <w:rPr>
          <w:rFonts w:ascii="Times New Roman" w:hAnsi="Times New Roman" w:cs="Times New Roman"/>
          <w:sz w:val="24"/>
          <w:szCs w:val="24"/>
          <w:lang w:val="en-US"/>
        </w:rPr>
        <w:t xml:space="preserve"> 1910-1940; </w:t>
      </w:r>
      <w:proofErr w:type="spellStart"/>
      <w:r>
        <w:rPr>
          <w:rFonts w:ascii="Times New Roman" w:hAnsi="Times New Roman" w:cs="Times New Roman"/>
          <w:sz w:val="24"/>
          <w:szCs w:val="24"/>
          <w:lang w:val="en-US"/>
        </w:rPr>
        <w:t>Stichting</w:t>
      </w:r>
      <w:proofErr w:type="spellEnd"/>
      <w:r>
        <w:rPr>
          <w:rFonts w:ascii="Times New Roman" w:hAnsi="Times New Roman" w:cs="Times New Roman"/>
          <w:sz w:val="24"/>
          <w:szCs w:val="24"/>
          <w:lang w:val="en-US"/>
        </w:rPr>
        <w:t xml:space="preserve"> Capital Amsterdam: ‘</w:t>
      </w:r>
      <w:proofErr w:type="spellStart"/>
      <w:r>
        <w:rPr>
          <w:rFonts w:ascii="Times New Roman" w:hAnsi="Times New Roman" w:cs="Times New Roman"/>
          <w:sz w:val="24"/>
          <w:szCs w:val="24"/>
          <w:lang w:val="en-US"/>
        </w:rPr>
        <w:t>Prijs-couranten</w:t>
      </w:r>
      <w:proofErr w:type="spellEnd"/>
      <w:r>
        <w:rPr>
          <w:rFonts w:ascii="Times New Roman" w:hAnsi="Times New Roman" w:cs="Times New Roman"/>
          <w:sz w:val="24"/>
          <w:szCs w:val="24"/>
          <w:lang w:val="en-US"/>
        </w:rPr>
        <w:t>’ 1910-1940.</w:t>
      </w:r>
    </w:p>
    <w:p w:rsidR="00EB48B6" w:rsidRDefault="00EB48B6">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F90B8C" w:rsidRDefault="00F90B8C" w:rsidP="00F90B8C">
      <w:pPr>
        <w:spacing w:line="360" w:lineRule="auto"/>
        <w:ind w:firstLine="284"/>
        <w:jc w:val="both"/>
        <w:rPr>
          <w:rFonts w:ascii="Times New Roman" w:hAnsi="Times New Roman" w:cs="Times New Roman"/>
          <w:i/>
          <w:sz w:val="24"/>
          <w:szCs w:val="24"/>
          <w:lang w:val="en-US"/>
        </w:rPr>
      </w:pPr>
      <w:r w:rsidRPr="00F90B8C">
        <w:rPr>
          <w:rFonts w:ascii="Times New Roman" w:hAnsi="Times New Roman" w:cs="Times New Roman"/>
          <w:i/>
          <w:sz w:val="24"/>
          <w:szCs w:val="24"/>
          <w:lang w:val="en-US"/>
        </w:rPr>
        <w:lastRenderedPageBreak/>
        <w:t>Figure 1.</w:t>
      </w:r>
      <w:r>
        <w:rPr>
          <w:rFonts w:ascii="Times New Roman" w:hAnsi="Times New Roman" w:cs="Times New Roman"/>
          <w:sz w:val="24"/>
          <w:szCs w:val="24"/>
          <w:lang w:val="en-US"/>
        </w:rPr>
        <w:t xml:space="preserve"> </w:t>
      </w:r>
      <w:r w:rsidRPr="00B7179C">
        <w:rPr>
          <w:rFonts w:ascii="Times New Roman" w:hAnsi="Times New Roman" w:cs="Times New Roman"/>
          <w:i/>
          <w:sz w:val="24"/>
          <w:szCs w:val="24"/>
          <w:lang w:val="en-US"/>
        </w:rPr>
        <w:t xml:space="preserve">Average dividend rates and real gain in Dutch colonial firms over 1906-1936. </w:t>
      </w:r>
    </w:p>
    <w:p w:rsidR="00F90B8C" w:rsidRPr="00B7179C" w:rsidRDefault="00F90B8C" w:rsidP="00F90B8C">
      <w:pPr>
        <w:spacing w:line="360" w:lineRule="auto"/>
        <w:ind w:firstLine="284"/>
        <w:jc w:val="both"/>
        <w:rPr>
          <w:rFonts w:ascii="Times New Roman" w:hAnsi="Times New Roman" w:cs="Times New Roman"/>
          <w:i/>
          <w:sz w:val="24"/>
          <w:szCs w:val="24"/>
          <w:lang w:val="en-US"/>
        </w:rPr>
      </w:pPr>
      <w:r>
        <w:rPr>
          <w:rFonts w:ascii="Times New Roman" w:hAnsi="Times New Roman" w:cs="Times New Roman"/>
          <w:i/>
          <w:noProof/>
          <w:sz w:val="24"/>
          <w:szCs w:val="24"/>
          <w:lang w:eastAsia="nl-NL"/>
        </w:rPr>
        <w:drawing>
          <wp:inline distT="0" distB="0" distL="0" distR="0">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B7179C">
        <w:rPr>
          <w:rFonts w:ascii="Times New Roman" w:hAnsi="Times New Roman" w:cs="Times New Roman"/>
          <w:i/>
          <w:sz w:val="24"/>
          <w:szCs w:val="24"/>
          <w:lang w:val="en-US"/>
        </w:rPr>
        <w:t xml:space="preserve">   </w:t>
      </w:r>
    </w:p>
    <w:p w:rsidR="003478F9" w:rsidRDefault="00F90B8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7179C">
        <w:rPr>
          <w:rFonts w:ascii="Times New Roman" w:hAnsi="Times New Roman" w:cs="Times New Roman"/>
          <w:sz w:val="24"/>
          <w:szCs w:val="24"/>
          <w:lang w:val="en-US"/>
        </w:rPr>
        <w:t xml:space="preserve">    Source: Keyser 1937: 8-9.</w:t>
      </w:r>
      <w:r w:rsidR="00E5705B" w:rsidRPr="00B7179C">
        <w:rPr>
          <w:rFonts w:ascii="Times New Roman" w:hAnsi="Times New Roman" w:cs="Times New Roman"/>
          <w:sz w:val="24"/>
          <w:szCs w:val="24"/>
          <w:lang w:val="en-US"/>
        </w:rPr>
        <w:br w:type="page"/>
      </w:r>
      <w:r w:rsidR="00A673F0" w:rsidRPr="003478F9">
        <w:rPr>
          <w:rFonts w:ascii="Times New Roman" w:hAnsi="Times New Roman" w:cs="Times New Roman"/>
          <w:i/>
          <w:sz w:val="24"/>
          <w:szCs w:val="24"/>
          <w:lang w:val="en-US"/>
        </w:rPr>
        <w:lastRenderedPageBreak/>
        <w:t xml:space="preserve">Figure 2. </w:t>
      </w:r>
      <w:r w:rsidR="003478F9" w:rsidRPr="003478F9">
        <w:rPr>
          <w:rFonts w:ascii="Times New Roman" w:hAnsi="Times New Roman" w:cs="Times New Roman"/>
          <w:i/>
          <w:sz w:val="24"/>
          <w:szCs w:val="24"/>
          <w:lang w:val="en-US"/>
        </w:rPr>
        <w:t>Average dividend rates of selected Dutch colonial firms, 1910-1940.</w:t>
      </w:r>
      <w:r w:rsidR="003478F9">
        <w:rPr>
          <w:rFonts w:ascii="Times New Roman" w:hAnsi="Times New Roman" w:cs="Times New Roman"/>
          <w:sz w:val="24"/>
          <w:szCs w:val="24"/>
          <w:lang w:val="en-US"/>
        </w:rPr>
        <w:t xml:space="preserve"> </w:t>
      </w:r>
    </w:p>
    <w:p w:rsidR="003478F9" w:rsidRDefault="00F90B8C">
      <w:pPr>
        <w:rPr>
          <w:rFonts w:ascii="Times New Roman" w:hAnsi="Times New Roman" w:cs="Times New Roman"/>
          <w:sz w:val="24"/>
          <w:szCs w:val="24"/>
          <w:lang w:val="en-US"/>
        </w:rPr>
      </w:pPr>
      <w:r>
        <w:rPr>
          <w:rFonts w:ascii="Times New Roman" w:hAnsi="Times New Roman" w:cs="Times New Roman"/>
          <w:noProof/>
          <w:sz w:val="24"/>
          <w:szCs w:val="24"/>
          <w:lang w:eastAsia="nl-NL"/>
        </w:rPr>
        <w:drawing>
          <wp:inline distT="0" distB="0" distL="0" distR="0" wp14:anchorId="07406014" wp14:editId="4BB296C9">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B48B6" w:rsidRPr="00D00417" w:rsidRDefault="00F90B8C" w:rsidP="00F90B8C">
      <w:pPr>
        <w:rPr>
          <w:rFonts w:ascii="Times New Roman" w:hAnsi="Times New Roman" w:cs="Times New Roman"/>
          <w:sz w:val="24"/>
          <w:szCs w:val="24"/>
          <w:lang w:val="en-US"/>
        </w:rPr>
      </w:pPr>
      <w:r w:rsidRPr="00D00417">
        <w:rPr>
          <w:rFonts w:ascii="Times New Roman" w:hAnsi="Times New Roman" w:cs="Times New Roman"/>
          <w:sz w:val="24"/>
          <w:szCs w:val="24"/>
          <w:lang w:val="en-US"/>
        </w:rPr>
        <w:t xml:space="preserve">Sources: </w:t>
      </w:r>
      <w:proofErr w:type="spellStart"/>
      <w:r w:rsidRPr="00D00417">
        <w:rPr>
          <w:rFonts w:ascii="Times New Roman" w:hAnsi="Times New Roman" w:cs="Times New Roman"/>
          <w:i/>
          <w:sz w:val="24"/>
          <w:szCs w:val="24"/>
          <w:lang w:val="en-US"/>
        </w:rPr>
        <w:t>Handboek</w:t>
      </w:r>
      <w:proofErr w:type="spellEnd"/>
      <w:r w:rsidRPr="00D00417">
        <w:rPr>
          <w:rFonts w:ascii="Times New Roman" w:hAnsi="Times New Roman" w:cs="Times New Roman"/>
          <w:sz w:val="24"/>
          <w:szCs w:val="24"/>
          <w:lang w:val="en-US"/>
        </w:rPr>
        <w:t xml:space="preserve"> 1910-1940; </w:t>
      </w:r>
      <w:proofErr w:type="spellStart"/>
      <w:r w:rsidRPr="00D00417">
        <w:rPr>
          <w:rFonts w:ascii="Times New Roman" w:hAnsi="Times New Roman" w:cs="Times New Roman"/>
          <w:sz w:val="24"/>
          <w:szCs w:val="24"/>
          <w:lang w:val="en-US"/>
        </w:rPr>
        <w:t>Stichting</w:t>
      </w:r>
      <w:proofErr w:type="spellEnd"/>
      <w:r w:rsidRPr="00D00417">
        <w:rPr>
          <w:rFonts w:ascii="Times New Roman" w:hAnsi="Times New Roman" w:cs="Times New Roman"/>
          <w:sz w:val="24"/>
          <w:szCs w:val="24"/>
          <w:lang w:val="en-US"/>
        </w:rPr>
        <w:t xml:space="preserve"> Capital Amsterdam: ‘</w:t>
      </w:r>
      <w:proofErr w:type="spellStart"/>
      <w:r w:rsidRPr="00D00417">
        <w:rPr>
          <w:rFonts w:ascii="Times New Roman" w:hAnsi="Times New Roman" w:cs="Times New Roman"/>
          <w:sz w:val="24"/>
          <w:szCs w:val="24"/>
          <w:lang w:val="en-US"/>
        </w:rPr>
        <w:t>Prijs-couranten</w:t>
      </w:r>
      <w:proofErr w:type="spellEnd"/>
      <w:r w:rsidRPr="00D00417">
        <w:rPr>
          <w:rFonts w:ascii="Times New Roman" w:hAnsi="Times New Roman" w:cs="Times New Roman"/>
          <w:sz w:val="24"/>
          <w:szCs w:val="24"/>
          <w:lang w:val="en-US"/>
        </w:rPr>
        <w:t>’ 1910-1940.</w:t>
      </w:r>
    </w:p>
    <w:p w:rsidR="00EB48B6" w:rsidRPr="00D00417" w:rsidRDefault="00EB48B6">
      <w:pPr>
        <w:rPr>
          <w:rFonts w:ascii="Times New Roman" w:hAnsi="Times New Roman" w:cs="Times New Roman"/>
          <w:sz w:val="24"/>
          <w:szCs w:val="24"/>
          <w:lang w:val="en-US"/>
        </w:rPr>
      </w:pPr>
      <w:r w:rsidRPr="00D00417">
        <w:rPr>
          <w:rFonts w:ascii="Times New Roman" w:hAnsi="Times New Roman" w:cs="Times New Roman"/>
          <w:sz w:val="24"/>
          <w:szCs w:val="24"/>
          <w:lang w:val="en-US"/>
        </w:rPr>
        <w:br w:type="page"/>
      </w:r>
    </w:p>
    <w:p w:rsidR="00F90B8C" w:rsidRDefault="00EB48B6" w:rsidP="0043104F">
      <w:pPr>
        <w:spacing w:line="360" w:lineRule="auto"/>
        <w:jc w:val="both"/>
        <w:rPr>
          <w:rFonts w:ascii="Times New Roman" w:hAnsi="Times New Roman" w:cs="Times New Roman"/>
          <w:i/>
          <w:sz w:val="24"/>
          <w:szCs w:val="24"/>
          <w:lang w:val="en-US"/>
        </w:rPr>
      </w:pPr>
      <w:r w:rsidRPr="00EB48B6">
        <w:rPr>
          <w:rFonts w:ascii="Times New Roman" w:hAnsi="Times New Roman" w:cs="Times New Roman"/>
          <w:i/>
          <w:sz w:val="24"/>
          <w:szCs w:val="24"/>
          <w:lang w:val="en-US"/>
        </w:rPr>
        <w:lastRenderedPageBreak/>
        <w:t xml:space="preserve">Figure 3. Average adjusted </w:t>
      </w:r>
      <w:r w:rsidRPr="0043104F">
        <w:rPr>
          <w:rFonts w:ascii="Times New Roman" w:hAnsi="Times New Roman" w:cs="Times New Roman"/>
          <w:i/>
          <w:szCs w:val="24"/>
          <w:lang w:val="en-US"/>
        </w:rPr>
        <w:t xml:space="preserve">dividend rates at Dutch firms in </w:t>
      </w:r>
      <w:r w:rsidR="0043104F" w:rsidRPr="0043104F">
        <w:rPr>
          <w:rFonts w:ascii="Times New Roman" w:hAnsi="Times New Roman" w:cs="Times New Roman"/>
          <w:i/>
          <w:szCs w:val="24"/>
          <w:lang w:val="en-US"/>
        </w:rPr>
        <w:t>the top export branches of the economy in</w:t>
      </w:r>
      <w:r w:rsidRPr="0043104F">
        <w:rPr>
          <w:rFonts w:ascii="Times New Roman" w:hAnsi="Times New Roman" w:cs="Times New Roman"/>
          <w:i/>
          <w:szCs w:val="24"/>
          <w:lang w:val="en-US"/>
        </w:rPr>
        <w:t xml:space="preserve"> colonial Indonesia</w:t>
      </w:r>
      <w:r w:rsidR="00F90B8C" w:rsidRPr="0043104F">
        <w:rPr>
          <w:rFonts w:ascii="Times New Roman" w:hAnsi="Times New Roman" w:cs="Times New Roman"/>
          <w:i/>
          <w:szCs w:val="24"/>
          <w:lang w:val="en-US"/>
        </w:rPr>
        <w:t xml:space="preserve"> </w:t>
      </w:r>
      <w:r w:rsidRPr="0043104F">
        <w:rPr>
          <w:rFonts w:ascii="Times New Roman" w:hAnsi="Times New Roman" w:cs="Times New Roman"/>
          <w:i/>
          <w:szCs w:val="24"/>
          <w:lang w:val="en-US"/>
        </w:rPr>
        <w:t>, 1910-194</w:t>
      </w:r>
      <w:r w:rsidRPr="00EB48B6">
        <w:rPr>
          <w:rFonts w:ascii="Times New Roman" w:hAnsi="Times New Roman" w:cs="Times New Roman"/>
          <w:i/>
          <w:sz w:val="24"/>
          <w:szCs w:val="24"/>
          <w:lang w:val="en-US"/>
        </w:rPr>
        <w:t xml:space="preserve">0. </w:t>
      </w:r>
    </w:p>
    <w:p w:rsidR="00EB48B6" w:rsidRDefault="00EB48B6" w:rsidP="00EB48B6">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nl-NL"/>
        </w:rPr>
        <w:drawing>
          <wp:inline distT="0" distB="0" distL="0" distR="0">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B48B6" w:rsidRPr="00D00417" w:rsidRDefault="00EB48B6" w:rsidP="0043104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Sources: </w:t>
      </w:r>
      <w:proofErr w:type="spellStart"/>
      <w:r w:rsidRPr="00D00417">
        <w:rPr>
          <w:rFonts w:ascii="Times New Roman" w:hAnsi="Times New Roman" w:cs="Times New Roman"/>
          <w:i/>
          <w:sz w:val="24"/>
          <w:szCs w:val="24"/>
          <w:lang w:val="en-US"/>
        </w:rPr>
        <w:t>Handboek</w:t>
      </w:r>
      <w:proofErr w:type="spellEnd"/>
      <w:r w:rsidRPr="00D00417">
        <w:rPr>
          <w:rFonts w:ascii="Times New Roman" w:hAnsi="Times New Roman" w:cs="Times New Roman"/>
          <w:sz w:val="24"/>
          <w:szCs w:val="24"/>
          <w:lang w:val="en-US"/>
        </w:rPr>
        <w:t xml:space="preserve"> 1910-1940; </w:t>
      </w:r>
      <w:proofErr w:type="spellStart"/>
      <w:r w:rsidRPr="00D00417">
        <w:rPr>
          <w:rFonts w:ascii="Times New Roman" w:hAnsi="Times New Roman" w:cs="Times New Roman"/>
          <w:sz w:val="24"/>
          <w:szCs w:val="24"/>
          <w:lang w:val="en-US"/>
        </w:rPr>
        <w:t>Stichting</w:t>
      </w:r>
      <w:proofErr w:type="spellEnd"/>
      <w:r w:rsidRPr="00D00417">
        <w:rPr>
          <w:rFonts w:ascii="Times New Roman" w:hAnsi="Times New Roman" w:cs="Times New Roman"/>
          <w:sz w:val="24"/>
          <w:szCs w:val="24"/>
          <w:lang w:val="en-US"/>
        </w:rPr>
        <w:t xml:space="preserve"> Capital Amsterdam: ‘</w:t>
      </w:r>
      <w:proofErr w:type="spellStart"/>
      <w:r w:rsidRPr="00D00417">
        <w:rPr>
          <w:rFonts w:ascii="Times New Roman" w:hAnsi="Times New Roman" w:cs="Times New Roman"/>
          <w:sz w:val="24"/>
          <w:szCs w:val="24"/>
          <w:lang w:val="en-US"/>
        </w:rPr>
        <w:t>Prijs-couranten</w:t>
      </w:r>
      <w:proofErr w:type="spellEnd"/>
      <w:r w:rsidRPr="00D00417">
        <w:rPr>
          <w:rFonts w:ascii="Times New Roman" w:hAnsi="Times New Roman" w:cs="Times New Roman"/>
          <w:sz w:val="24"/>
          <w:szCs w:val="24"/>
          <w:lang w:val="en-US"/>
        </w:rPr>
        <w:t>’ 1910-1940.</w:t>
      </w:r>
    </w:p>
    <w:p w:rsidR="000D33A0" w:rsidRDefault="00563DBC" w:rsidP="0043104F">
      <w:pPr>
        <w:jc w:val="both"/>
        <w:rPr>
          <w:rFonts w:ascii="Times New Roman" w:hAnsi="Times New Roman" w:cs="Times New Roman"/>
          <w:sz w:val="24"/>
          <w:szCs w:val="24"/>
          <w:lang w:val="en-US"/>
        </w:rPr>
      </w:pPr>
      <w:r w:rsidRPr="00563DBC">
        <w:rPr>
          <w:rFonts w:ascii="Times New Roman" w:hAnsi="Times New Roman" w:cs="Times New Roman"/>
          <w:sz w:val="24"/>
          <w:szCs w:val="24"/>
          <w:lang w:val="en-US"/>
        </w:rPr>
        <w:t xml:space="preserve">Note: Averages </w:t>
      </w:r>
      <w:r>
        <w:rPr>
          <w:rFonts w:ascii="Times New Roman" w:hAnsi="Times New Roman" w:cs="Times New Roman"/>
          <w:sz w:val="24"/>
          <w:szCs w:val="24"/>
          <w:lang w:val="en-US"/>
        </w:rPr>
        <w:t>apply to at least four individual companies per branch in a</w:t>
      </w:r>
      <w:r w:rsidR="00A13A06">
        <w:rPr>
          <w:rFonts w:ascii="Times New Roman" w:hAnsi="Times New Roman" w:cs="Times New Roman"/>
          <w:sz w:val="24"/>
          <w:szCs w:val="24"/>
          <w:lang w:val="en-US"/>
        </w:rPr>
        <w:t>ny</w:t>
      </w:r>
      <w:r>
        <w:rPr>
          <w:rFonts w:ascii="Times New Roman" w:hAnsi="Times New Roman" w:cs="Times New Roman"/>
          <w:sz w:val="24"/>
          <w:szCs w:val="24"/>
          <w:lang w:val="en-US"/>
        </w:rPr>
        <w:t xml:space="preserve"> given year.</w:t>
      </w:r>
    </w:p>
    <w:p w:rsidR="000D33A0" w:rsidRDefault="000D33A0">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0D33A0" w:rsidRDefault="00563DBC" w:rsidP="000D33A0">
      <w:pPr>
        <w:spacing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lastRenderedPageBreak/>
        <w:t xml:space="preserve"> </w:t>
      </w:r>
      <w:r w:rsidR="000D33A0" w:rsidRPr="00EB48B6">
        <w:rPr>
          <w:rFonts w:ascii="Times New Roman" w:hAnsi="Times New Roman" w:cs="Times New Roman"/>
          <w:i/>
          <w:sz w:val="24"/>
          <w:szCs w:val="24"/>
          <w:lang w:val="en-US"/>
        </w:rPr>
        <w:t xml:space="preserve">Figure </w:t>
      </w:r>
      <w:r w:rsidR="000D33A0">
        <w:rPr>
          <w:rFonts w:ascii="Times New Roman" w:hAnsi="Times New Roman" w:cs="Times New Roman"/>
          <w:i/>
          <w:sz w:val="24"/>
          <w:szCs w:val="24"/>
          <w:lang w:val="en-US"/>
        </w:rPr>
        <w:t>4</w:t>
      </w:r>
      <w:r w:rsidR="000D33A0" w:rsidRPr="00EB48B6">
        <w:rPr>
          <w:rFonts w:ascii="Times New Roman" w:hAnsi="Times New Roman" w:cs="Times New Roman"/>
          <w:i/>
          <w:sz w:val="24"/>
          <w:szCs w:val="24"/>
          <w:lang w:val="en-US"/>
        </w:rPr>
        <w:t xml:space="preserve">. Average adjusted dividend rates </w:t>
      </w:r>
      <w:r w:rsidR="000D33A0">
        <w:rPr>
          <w:rFonts w:ascii="Times New Roman" w:hAnsi="Times New Roman" w:cs="Times New Roman"/>
          <w:i/>
          <w:sz w:val="24"/>
          <w:szCs w:val="24"/>
          <w:lang w:val="en-US"/>
        </w:rPr>
        <w:t xml:space="preserve">at Dutch firms </w:t>
      </w:r>
      <w:r w:rsidR="000D33A0" w:rsidRPr="00EB48B6">
        <w:rPr>
          <w:rFonts w:ascii="Times New Roman" w:hAnsi="Times New Roman" w:cs="Times New Roman"/>
          <w:i/>
          <w:sz w:val="24"/>
          <w:szCs w:val="24"/>
          <w:lang w:val="en-US"/>
        </w:rPr>
        <w:t xml:space="preserve">in </w:t>
      </w:r>
      <w:r w:rsidR="0043104F">
        <w:rPr>
          <w:rFonts w:ascii="Times New Roman" w:hAnsi="Times New Roman" w:cs="Times New Roman"/>
          <w:i/>
          <w:sz w:val="24"/>
          <w:szCs w:val="24"/>
          <w:lang w:val="en-US"/>
        </w:rPr>
        <w:t xml:space="preserve">selected branches of estate agriculture </w:t>
      </w:r>
      <w:r w:rsidR="000D33A0" w:rsidRPr="00EB48B6">
        <w:rPr>
          <w:rFonts w:ascii="Times New Roman" w:hAnsi="Times New Roman" w:cs="Times New Roman"/>
          <w:i/>
          <w:sz w:val="24"/>
          <w:szCs w:val="24"/>
          <w:lang w:val="en-US"/>
        </w:rPr>
        <w:t xml:space="preserve">in colonial Indonesia, 1910-1940. </w:t>
      </w:r>
    </w:p>
    <w:p w:rsidR="000D33A0" w:rsidRPr="000D33A0" w:rsidRDefault="000D33A0" w:rsidP="000D33A0">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nl-NL"/>
        </w:rPr>
        <w:drawing>
          <wp:inline distT="0" distB="0" distL="0" distR="0">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D33A0" w:rsidRPr="00D00417" w:rsidRDefault="000D33A0" w:rsidP="0043104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Sources: </w:t>
      </w:r>
      <w:proofErr w:type="spellStart"/>
      <w:r w:rsidRPr="00D00417">
        <w:rPr>
          <w:rFonts w:ascii="Times New Roman" w:hAnsi="Times New Roman" w:cs="Times New Roman"/>
          <w:i/>
          <w:sz w:val="24"/>
          <w:szCs w:val="24"/>
          <w:lang w:val="en-US"/>
        </w:rPr>
        <w:t>Handboek</w:t>
      </w:r>
      <w:proofErr w:type="spellEnd"/>
      <w:r w:rsidRPr="00D00417">
        <w:rPr>
          <w:rFonts w:ascii="Times New Roman" w:hAnsi="Times New Roman" w:cs="Times New Roman"/>
          <w:sz w:val="24"/>
          <w:szCs w:val="24"/>
          <w:lang w:val="en-US"/>
        </w:rPr>
        <w:t xml:space="preserve"> 1910-1940; </w:t>
      </w:r>
      <w:proofErr w:type="spellStart"/>
      <w:r w:rsidRPr="00D00417">
        <w:rPr>
          <w:rFonts w:ascii="Times New Roman" w:hAnsi="Times New Roman" w:cs="Times New Roman"/>
          <w:sz w:val="24"/>
          <w:szCs w:val="24"/>
          <w:lang w:val="en-US"/>
        </w:rPr>
        <w:t>Stichting</w:t>
      </w:r>
      <w:proofErr w:type="spellEnd"/>
      <w:r w:rsidRPr="00D00417">
        <w:rPr>
          <w:rFonts w:ascii="Times New Roman" w:hAnsi="Times New Roman" w:cs="Times New Roman"/>
          <w:sz w:val="24"/>
          <w:szCs w:val="24"/>
          <w:lang w:val="en-US"/>
        </w:rPr>
        <w:t xml:space="preserve"> Capital Amsterdam: ‘</w:t>
      </w:r>
      <w:proofErr w:type="spellStart"/>
      <w:r w:rsidRPr="00D00417">
        <w:rPr>
          <w:rFonts w:ascii="Times New Roman" w:hAnsi="Times New Roman" w:cs="Times New Roman"/>
          <w:sz w:val="24"/>
          <w:szCs w:val="24"/>
          <w:lang w:val="en-US"/>
        </w:rPr>
        <w:t>Prijs-couranten</w:t>
      </w:r>
      <w:proofErr w:type="spellEnd"/>
      <w:r w:rsidRPr="00D00417">
        <w:rPr>
          <w:rFonts w:ascii="Times New Roman" w:hAnsi="Times New Roman" w:cs="Times New Roman"/>
          <w:sz w:val="24"/>
          <w:szCs w:val="24"/>
          <w:lang w:val="en-US"/>
        </w:rPr>
        <w:t>’ 1910-1940.</w:t>
      </w:r>
    </w:p>
    <w:p w:rsidR="000D33A0" w:rsidRDefault="000D33A0" w:rsidP="0043104F">
      <w:pPr>
        <w:jc w:val="both"/>
        <w:rPr>
          <w:rFonts w:ascii="Times New Roman" w:hAnsi="Times New Roman" w:cs="Times New Roman"/>
          <w:sz w:val="24"/>
          <w:szCs w:val="24"/>
          <w:lang w:val="en-US"/>
        </w:rPr>
      </w:pPr>
      <w:r w:rsidRPr="00563DBC">
        <w:rPr>
          <w:rFonts w:ascii="Times New Roman" w:hAnsi="Times New Roman" w:cs="Times New Roman"/>
          <w:sz w:val="24"/>
          <w:szCs w:val="24"/>
          <w:lang w:val="en-US"/>
        </w:rPr>
        <w:t xml:space="preserve">Note: Averages </w:t>
      </w:r>
      <w:r>
        <w:rPr>
          <w:rFonts w:ascii="Times New Roman" w:hAnsi="Times New Roman" w:cs="Times New Roman"/>
          <w:sz w:val="24"/>
          <w:szCs w:val="24"/>
          <w:lang w:val="en-US"/>
        </w:rPr>
        <w:t>apply to at least four individual companies per branch in any given year.</w:t>
      </w:r>
    </w:p>
    <w:p w:rsidR="00EB48B6" w:rsidRPr="00563DBC" w:rsidRDefault="00EB48B6">
      <w:pPr>
        <w:rPr>
          <w:rFonts w:ascii="Times New Roman" w:hAnsi="Times New Roman" w:cs="Times New Roman"/>
          <w:sz w:val="24"/>
          <w:szCs w:val="24"/>
          <w:lang w:val="en-US"/>
        </w:rPr>
      </w:pPr>
      <w:r w:rsidRPr="00563DBC">
        <w:rPr>
          <w:rFonts w:ascii="Times New Roman" w:hAnsi="Times New Roman" w:cs="Times New Roman"/>
          <w:sz w:val="24"/>
          <w:szCs w:val="24"/>
          <w:lang w:val="en-US"/>
        </w:rPr>
        <w:br w:type="page"/>
      </w:r>
    </w:p>
    <w:p w:rsidR="00EB48B6" w:rsidRDefault="00EB48B6" w:rsidP="0043104F">
      <w:pPr>
        <w:spacing w:line="360" w:lineRule="auto"/>
        <w:jc w:val="both"/>
        <w:rPr>
          <w:rFonts w:ascii="Times New Roman" w:hAnsi="Times New Roman" w:cs="Times New Roman"/>
          <w:i/>
          <w:sz w:val="24"/>
          <w:szCs w:val="24"/>
          <w:lang w:val="en-US"/>
        </w:rPr>
      </w:pPr>
      <w:r w:rsidRPr="00EB48B6">
        <w:rPr>
          <w:rFonts w:ascii="Times New Roman" w:hAnsi="Times New Roman" w:cs="Times New Roman"/>
          <w:i/>
          <w:sz w:val="24"/>
          <w:szCs w:val="24"/>
          <w:lang w:val="en-US"/>
        </w:rPr>
        <w:lastRenderedPageBreak/>
        <w:t xml:space="preserve">Figure </w:t>
      </w:r>
      <w:r w:rsidR="00C96373">
        <w:rPr>
          <w:rFonts w:ascii="Times New Roman" w:hAnsi="Times New Roman" w:cs="Times New Roman"/>
          <w:i/>
          <w:sz w:val="24"/>
          <w:szCs w:val="24"/>
          <w:lang w:val="en-US"/>
        </w:rPr>
        <w:t>5</w:t>
      </w:r>
      <w:r w:rsidRPr="00EB48B6">
        <w:rPr>
          <w:rFonts w:ascii="Times New Roman" w:hAnsi="Times New Roman" w:cs="Times New Roman"/>
          <w:i/>
          <w:sz w:val="24"/>
          <w:szCs w:val="24"/>
          <w:lang w:val="en-US"/>
        </w:rPr>
        <w:t xml:space="preserve">. Average adjusted dividend rates </w:t>
      </w:r>
      <w:r>
        <w:rPr>
          <w:rFonts w:ascii="Times New Roman" w:hAnsi="Times New Roman" w:cs="Times New Roman"/>
          <w:i/>
          <w:sz w:val="24"/>
          <w:szCs w:val="24"/>
          <w:lang w:val="en-US"/>
        </w:rPr>
        <w:t xml:space="preserve">at Dutch firms </w:t>
      </w:r>
      <w:r w:rsidRPr="00EB48B6">
        <w:rPr>
          <w:rFonts w:ascii="Times New Roman" w:hAnsi="Times New Roman" w:cs="Times New Roman"/>
          <w:i/>
          <w:sz w:val="24"/>
          <w:szCs w:val="24"/>
          <w:lang w:val="en-US"/>
        </w:rPr>
        <w:t>in</w:t>
      </w:r>
      <w:r>
        <w:rPr>
          <w:rFonts w:ascii="Times New Roman" w:hAnsi="Times New Roman" w:cs="Times New Roman"/>
          <w:i/>
          <w:sz w:val="24"/>
          <w:szCs w:val="24"/>
          <w:lang w:val="en-US"/>
        </w:rPr>
        <w:t xml:space="preserve"> </w:t>
      </w:r>
      <w:r w:rsidR="0043104F">
        <w:rPr>
          <w:rFonts w:ascii="Times New Roman" w:hAnsi="Times New Roman" w:cs="Times New Roman"/>
          <w:i/>
          <w:sz w:val="24"/>
          <w:szCs w:val="24"/>
          <w:lang w:val="en-US"/>
        </w:rPr>
        <w:t xml:space="preserve">selected branches of the services sector in </w:t>
      </w:r>
      <w:r w:rsidRPr="00EB48B6">
        <w:rPr>
          <w:rFonts w:ascii="Times New Roman" w:hAnsi="Times New Roman" w:cs="Times New Roman"/>
          <w:i/>
          <w:sz w:val="24"/>
          <w:szCs w:val="24"/>
          <w:lang w:val="en-US"/>
        </w:rPr>
        <w:t xml:space="preserve">colonial Indonesia , 1910-1940. </w:t>
      </w:r>
    </w:p>
    <w:p w:rsidR="00EB48B6" w:rsidRPr="00EB48B6" w:rsidRDefault="00EB48B6" w:rsidP="00EB48B6">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nl-NL"/>
        </w:rPr>
        <w:drawing>
          <wp:inline distT="0" distB="0" distL="0" distR="0">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3DBC" w:rsidRPr="00563DBC" w:rsidRDefault="00563DBC" w:rsidP="0043104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Sources: </w:t>
      </w:r>
      <w:proofErr w:type="spellStart"/>
      <w:r w:rsidRPr="00563DBC">
        <w:rPr>
          <w:rFonts w:ascii="Times New Roman" w:hAnsi="Times New Roman" w:cs="Times New Roman"/>
          <w:i/>
          <w:sz w:val="24"/>
          <w:szCs w:val="24"/>
          <w:lang w:val="en-US"/>
        </w:rPr>
        <w:t>Handboek</w:t>
      </w:r>
      <w:proofErr w:type="spellEnd"/>
      <w:r w:rsidRPr="00563DBC">
        <w:rPr>
          <w:rFonts w:ascii="Times New Roman" w:hAnsi="Times New Roman" w:cs="Times New Roman"/>
          <w:sz w:val="24"/>
          <w:szCs w:val="24"/>
          <w:lang w:val="en-US"/>
        </w:rPr>
        <w:t xml:space="preserve"> 1910-1940; </w:t>
      </w:r>
      <w:proofErr w:type="spellStart"/>
      <w:r w:rsidRPr="00563DBC">
        <w:rPr>
          <w:rFonts w:ascii="Times New Roman" w:hAnsi="Times New Roman" w:cs="Times New Roman"/>
          <w:sz w:val="24"/>
          <w:szCs w:val="24"/>
          <w:lang w:val="en-US"/>
        </w:rPr>
        <w:t>Stichting</w:t>
      </w:r>
      <w:proofErr w:type="spellEnd"/>
      <w:r w:rsidRPr="00563DBC">
        <w:rPr>
          <w:rFonts w:ascii="Times New Roman" w:hAnsi="Times New Roman" w:cs="Times New Roman"/>
          <w:sz w:val="24"/>
          <w:szCs w:val="24"/>
          <w:lang w:val="en-US"/>
        </w:rPr>
        <w:t xml:space="preserve"> Capital Amsterdam: ‘</w:t>
      </w:r>
      <w:proofErr w:type="spellStart"/>
      <w:r w:rsidRPr="00563DBC">
        <w:rPr>
          <w:rFonts w:ascii="Times New Roman" w:hAnsi="Times New Roman" w:cs="Times New Roman"/>
          <w:sz w:val="24"/>
          <w:szCs w:val="24"/>
          <w:lang w:val="en-US"/>
        </w:rPr>
        <w:t>Prijs-couranten</w:t>
      </w:r>
      <w:proofErr w:type="spellEnd"/>
      <w:r w:rsidRPr="00563DBC">
        <w:rPr>
          <w:rFonts w:ascii="Times New Roman" w:hAnsi="Times New Roman" w:cs="Times New Roman"/>
          <w:sz w:val="24"/>
          <w:szCs w:val="24"/>
          <w:lang w:val="en-US"/>
        </w:rPr>
        <w:t>’ 1910-1940.</w:t>
      </w:r>
    </w:p>
    <w:p w:rsidR="00EB48B6" w:rsidRPr="00EB48B6" w:rsidRDefault="00563DBC" w:rsidP="0043104F">
      <w:pPr>
        <w:spacing w:line="360" w:lineRule="auto"/>
        <w:jc w:val="both"/>
        <w:rPr>
          <w:rFonts w:ascii="Times New Roman" w:hAnsi="Times New Roman" w:cs="Times New Roman"/>
          <w:sz w:val="24"/>
          <w:szCs w:val="24"/>
          <w:lang w:val="en-US"/>
        </w:rPr>
      </w:pPr>
      <w:r w:rsidRPr="00563DBC">
        <w:rPr>
          <w:rFonts w:ascii="Times New Roman" w:hAnsi="Times New Roman" w:cs="Times New Roman"/>
          <w:sz w:val="24"/>
          <w:szCs w:val="24"/>
          <w:lang w:val="en-US"/>
        </w:rPr>
        <w:t xml:space="preserve">Note: Averages </w:t>
      </w:r>
      <w:r>
        <w:rPr>
          <w:rFonts w:ascii="Times New Roman" w:hAnsi="Times New Roman" w:cs="Times New Roman"/>
          <w:sz w:val="24"/>
          <w:szCs w:val="24"/>
          <w:lang w:val="en-US"/>
        </w:rPr>
        <w:t>apply to at least four individual companies per branch in a</w:t>
      </w:r>
      <w:r w:rsidR="00A13A06">
        <w:rPr>
          <w:rFonts w:ascii="Times New Roman" w:hAnsi="Times New Roman" w:cs="Times New Roman"/>
          <w:sz w:val="24"/>
          <w:szCs w:val="24"/>
          <w:lang w:val="en-US"/>
        </w:rPr>
        <w:t>ny</w:t>
      </w:r>
      <w:r>
        <w:rPr>
          <w:rFonts w:ascii="Times New Roman" w:hAnsi="Times New Roman" w:cs="Times New Roman"/>
          <w:sz w:val="24"/>
          <w:szCs w:val="24"/>
          <w:lang w:val="en-US"/>
        </w:rPr>
        <w:t xml:space="preserve"> given year.</w:t>
      </w:r>
    </w:p>
    <w:p w:rsidR="00A20CAA" w:rsidRDefault="00A20CAA">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E5705B" w:rsidRPr="00CE28BC" w:rsidRDefault="00E5705B" w:rsidP="00D7353E">
      <w:pPr>
        <w:spacing w:line="360" w:lineRule="auto"/>
        <w:jc w:val="both"/>
        <w:rPr>
          <w:rFonts w:ascii="Times New Roman" w:hAnsi="Times New Roman" w:cs="Times New Roman"/>
          <w:b/>
          <w:sz w:val="24"/>
          <w:szCs w:val="24"/>
        </w:rPr>
      </w:pPr>
      <w:proofErr w:type="spellStart"/>
      <w:r w:rsidRPr="00CE28BC">
        <w:rPr>
          <w:rFonts w:ascii="Times New Roman" w:hAnsi="Times New Roman" w:cs="Times New Roman"/>
          <w:b/>
          <w:sz w:val="24"/>
          <w:szCs w:val="24"/>
        </w:rPr>
        <w:lastRenderedPageBreak/>
        <w:t>Bibliography</w:t>
      </w:r>
      <w:proofErr w:type="spellEnd"/>
    </w:p>
    <w:p w:rsidR="008D5DEA" w:rsidRPr="00D00417" w:rsidRDefault="008D5DEA" w:rsidP="00D7353E">
      <w:pPr>
        <w:spacing w:line="360" w:lineRule="auto"/>
        <w:jc w:val="both"/>
        <w:rPr>
          <w:rFonts w:ascii="Times New Roman" w:hAnsi="Times New Roman" w:cs="Times New Roman"/>
          <w:sz w:val="24"/>
          <w:szCs w:val="24"/>
          <w:lang w:val="en-US"/>
        </w:rPr>
      </w:pPr>
      <w:r w:rsidRPr="00CE28BC">
        <w:rPr>
          <w:rFonts w:ascii="Times New Roman" w:hAnsi="Times New Roman" w:cs="Times New Roman"/>
          <w:sz w:val="24"/>
          <w:szCs w:val="24"/>
        </w:rPr>
        <w:t xml:space="preserve">Bosch, K.D. (1947). </w:t>
      </w:r>
      <w:r w:rsidRPr="00CE28BC">
        <w:rPr>
          <w:rFonts w:ascii="Times New Roman" w:hAnsi="Times New Roman" w:cs="Times New Roman"/>
          <w:i/>
          <w:sz w:val="24"/>
          <w:szCs w:val="24"/>
        </w:rPr>
        <w:t>Nederlandse Beleggingen in de Verenigde Staten.</w:t>
      </w:r>
      <w:r w:rsidRPr="00CE28BC">
        <w:rPr>
          <w:rFonts w:ascii="Times New Roman" w:hAnsi="Times New Roman" w:cs="Times New Roman"/>
          <w:sz w:val="24"/>
          <w:szCs w:val="24"/>
        </w:rPr>
        <w:t xml:space="preserve"> </w:t>
      </w:r>
      <w:r w:rsidRPr="00D00417">
        <w:rPr>
          <w:rFonts w:ascii="Times New Roman" w:hAnsi="Times New Roman" w:cs="Times New Roman"/>
          <w:sz w:val="24"/>
          <w:szCs w:val="24"/>
          <w:lang w:val="en-US"/>
        </w:rPr>
        <w:t xml:space="preserve">Amsterdam: Elsevier. </w:t>
      </w:r>
    </w:p>
    <w:p w:rsidR="00A620D3" w:rsidRDefault="00A620D3" w:rsidP="00D7353E">
      <w:pPr>
        <w:spacing w:line="360" w:lineRule="auto"/>
        <w:jc w:val="both"/>
        <w:rPr>
          <w:rFonts w:ascii="Times New Roman" w:hAnsi="Times New Roman" w:cs="Times New Roman"/>
          <w:sz w:val="24"/>
          <w:szCs w:val="24"/>
          <w:lang w:val="en-US"/>
        </w:rPr>
      </w:pPr>
      <w:proofErr w:type="spellStart"/>
      <w:r w:rsidRPr="00D00417">
        <w:rPr>
          <w:rFonts w:ascii="Times New Roman" w:hAnsi="Times New Roman" w:cs="Times New Roman"/>
          <w:sz w:val="24"/>
          <w:szCs w:val="24"/>
          <w:lang w:val="en-US"/>
        </w:rPr>
        <w:t>Buelens</w:t>
      </w:r>
      <w:proofErr w:type="spellEnd"/>
      <w:r w:rsidRPr="00D00417">
        <w:rPr>
          <w:rFonts w:ascii="Times New Roman" w:hAnsi="Times New Roman" w:cs="Times New Roman"/>
          <w:sz w:val="24"/>
          <w:szCs w:val="24"/>
          <w:lang w:val="en-US"/>
        </w:rPr>
        <w:t xml:space="preserve">, </w:t>
      </w:r>
      <w:proofErr w:type="spellStart"/>
      <w:r w:rsidRPr="00D00417">
        <w:rPr>
          <w:rFonts w:ascii="Times New Roman" w:hAnsi="Times New Roman" w:cs="Times New Roman"/>
          <w:sz w:val="24"/>
          <w:szCs w:val="24"/>
          <w:lang w:val="en-US"/>
        </w:rPr>
        <w:t>Frans</w:t>
      </w:r>
      <w:proofErr w:type="spellEnd"/>
      <w:r w:rsidRPr="00D00417">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nd </w:t>
      </w:r>
      <w:proofErr w:type="spellStart"/>
      <w:r>
        <w:rPr>
          <w:rFonts w:ascii="Times New Roman" w:hAnsi="Times New Roman" w:cs="Times New Roman"/>
          <w:sz w:val="24"/>
          <w:szCs w:val="24"/>
          <w:lang w:val="en-US"/>
        </w:rPr>
        <w:t>Ewout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Frankema</w:t>
      </w:r>
      <w:proofErr w:type="spellEnd"/>
      <w:r>
        <w:rPr>
          <w:rFonts w:ascii="Times New Roman" w:hAnsi="Times New Roman" w:cs="Times New Roman"/>
          <w:sz w:val="24"/>
          <w:szCs w:val="24"/>
          <w:lang w:val="en-US"/>
        </w:rPr>
        <w:t xml:space="preserve"> (2016). ‘Colonial adventures in tropical agriculture. New estimates of returns to investment in the Netherlands Indies 1919-1938’, </w:t>
      </w:r>
      <w:proofErr w:type="spellStart"/>
      <w:r w:rsidRPr="00A620D3">
        <w:rPr>
          <w:rFonts w:ascii="Times New Roman" w:hAnsi="Times New Roman" w:cs="Times New Roman"/>
          <w:i/>
          <w:sz w:val="24"/>
          <w:szCs w:val="24"/>
          <w:lang w:val="en-US"/>
        </w:rPr>
        <w:t>Cliometrica</w:t>
      </w:r>
      <w:proofErr w:type="spellEnd"/>
      <w:r>
        <w:rPr>
          <w:rFonts w:ascii="Times New Roman" w:hAnsi="Times New Roman" w:cs="Times New Roman"/>
          <w:sz w:val="24"/>
          <w:szCs w:val="24"/>
          <w:lang w:val="en-US"/>
        </w:rPr>
        <w:t xml:space="preserve"> 19 (2) at press. </w:t>
      </w:r>
    </w:p>
    <w:p w:rsidR="008D5DEA" w:rsidRPr="008D5DEA" w:rsidRDefault="008D5DEA" w:rsidP="00D7353E">
      <w:pPr>
        <w:spacing w:line="360" w:lineRule="auto"/>
        <w:jc w:val="both"/>
        <w:rPr>
          <w:rFonts w:ascii="Times New Roman" w:hAnsi="Times New Roman" w:cs="Times New Roman"/>
          <w:sz w:val="24"/>
          <w:szCs w:val="24"/>
        </w:rPr>
      </w:pPr>
      <w:r w:rsidRPr="00CB21B7">
        <w:rPr>
          <w:rFonts w:ascii="Times New Roman" w:hAnsi="Times New Roman" w:cs="Times New Roman"/>
          <w:sz w:val="24"/>
          <w:szCs w:val="24"/>
          <w:lang w:val="en-US"/>
        </w:rPr>
        <w:t xml:space="preserve">Campo, J.N.F.M. á (1996). </w:t>
      </w:r>
      <w:r w:rsidRPr="008D5DEA">
        <w:rPr>
          <w:rFonts w:ascii="Times New Roman" w:hAnsi="Times New Roman" w:cs="Times New Roman"/>
          <w:sz w:val="24"/>
          <w:szCs w:val="24"/>
          <w:lang w:val="en-US"/>
        </w:rPr>
        <w:t>‘The rise of corporate enterprise in colonial Indonesia</w:t>
      </w:r>
      <w:r>
        <w:rPr>
          <w:rFonts w:ascii="Times New Roman" w:hAnsi="Times New Roman" w:cs="Times New Roman"/>
          <w:sz w:val="24"/>
          <w:szCs w:val="24"/>
          <w:lang w:val="en-US"/>
        </w:rPr>
        <w:t xml:space="preserve">’, in: J. Thomas </w:t>
      </w:r>
      <w:proofErr w:type="spellStart"/>
      <w:r>
        <w:rPr>
          <w:rFonts w:ascii="Times New Roman" w:hAnsi="Times New Roman" w:cs="Times New Roman"/>
          <w:sz w:val="24"/>
          <w:szCs w:val="24"/>
          <w:lang w:val="en-US"/>
        </w:rPr>
        <w:t>Lindblad</w:t>
      </w:r>
      <w:proofErr w:type="spellEnd"/>
      <w:r>
        <w:rPr>
          <w:rFonts w:ascii="Times New Roman" w:hAnsi="Times New Roman" w:cs="Times New Roman"/>
          <w:sz w:val="24"/>
          <w:szCs w:val="24"/>
          <w:lang w:val="en-US"/>
        </w:rPr>
        <w:t xml:space="preserve"> (ed.), </w:t>
      </w:r>
      <w:r w:rsidRPr="008D5DEA">
        <w:rPr>
          <w:rFonts w:ascii="Times New Roman" w:hAnsi="Times New Roman" w:cs="Times New Roman"/>
          <w:i/>
          <w:sz w:val="24"/>
          <w:szCs w:val="24"/>
          <w:lang w:val="en-US"/>
        </w:rPr>
        <w:t>Historical Foundations of a National Economy in Indonesia, 1890s-1990s</w:t>
      </w:r>
      <w:r>
        <w:rPr>
          <w:rFonts w:ascii="Times New Roman" w:hAnsi="Times New Roman" w:cs="Times New Roman"/>
          <w:sz w:val="24"/>
          <w:szCs w:val="24"/>
          <w:lang w:val="en-US"/>
        </w:rPr>
        <w:t xml:space="preserve">. </w:t>
      </w:r>
      <w:r w:rsidRPr="008D5DEA">
        <w:rPr>
          <w:rFonts w:ascii="Times New Roman" w:hAnsi="Times New Roman" w:cs="Times New Roman"/>
          <w:sz w:val="24"/>
          <w:szCs w:val="24"/>
        </w:rPr>
        <w:t>Amsterdam: North-Holland, pp.</w:t>
      </w:r>
      <w:r>
        <w:rPr>
          <w:rFonts w:ascii="Times New Roman" w:hAnsi="Times New Roman" w:cs="Times New Roman"/>
          <w:sz w:val="24"/>
          <w:szCs w:val="24"/>
        </w:rPr>
        <w:t xml:space="preserve"> 71-94.</w:t>
      </w:r>
      <w:r w:rsidRPr="008D5DEA">
        <w:rPr>
          <w:rFonts w:ascii="Times New Roman" w:hAnsi="Times New Roman" w:cs="Times New Roman"/>
          <w:sz w:val="24"/>
          <w:szCs w:val="24"/>
        </w:rPr>
        <w:t xml:space="preserve"> </w:t>
      </w:r>
    </w:p>
    <w:p w:rsidR="00BD71D0" w:rsidRDefault="00E5705B" w:rsidP="00D7353E">
      <w:pPr>
        <w:spacing w:line="360" w:lineRule="auto"/>
        <w:jc w:val="both"/>
        <w:rPr>
          <w:rFonts w:ascii="Times New Roman" w:hAnsi="Times New Roman" w:cs="Times New Roman"/>
          <w:sz w:val="24"/>
          <w:szCs w:val="24"/>
        </w:rPr>
      </w:pPr>
      <w:r w:rsidRPr="00E5705B">
        <w:rPr>
          <w:rFonts w:ascii="Times New Roman" w:hAnsi="Times New Roman" w:cs="Times New Roman"/>
          <w:sz w:val="24"/>
          <w:szCs w:val="24"/>
        </w:rPr>
        <w:t xml:space="preserve">Derksen, J.B.D. </w:t>
      </w:r>
      <w:proofErr w:type="spellStart"/>
      <w:r w:rsidRPr="00E5705B">
        <w:rPr>
          <w:rFonts w:ascii="Times New Roman" w:hAnsi="Times New Roman" w:cs="Times New Roman"/>
          <w:sz w:val="24"/>
          <w:szCs w:val="24"/>
        </w:rPr>
        <w:t>and</w:t>
      </w:r>
      <w:proofErr w:type="spellEnd"/>
      <w:r w:rsidRPr="00E5705B">
        <w:rPr>
          <w:rFonts w:ascii="Times New Roman" w:hAnsi="Times New Roman" w:cs="Times New Roman"/>
          <w:sz w:val="24"/>
          <w:szCs w:val="24"/>
        </w:rPr>
        <w:t xml:space="preserve"> J. Tinbergen (1945). </w:t>
      </w:r>
      <w:r>
        <w:rPr>
          <w:rFonts w:ascii="Times New Roman" w:hAnsi="Times New Roman" w:cs="Times New Roman"/>
          <w:sz w:val="24"/>
          <w:szCs w:val="24"/>
        </w:rPr>
        <w:t xml:space="preserve">‘Berekeningen over de economische betekenis van </w:t>
      </w:r>
      <w:proofErr w:type="spellStart"/>
      <w:r>
        <w:rPr>
          <w:rFonts w:ascii="Times New Roman" w:hAnsi="Times New Roman" w:cs="Times New Roman"/>
          <w:sz w:val="24"/>
          <w:szCs w:val="24"/>
        </w:rPr>
        <w:t>Nederlandsch-Indië</w:t>
      </w:r>
      <w:proofErr w:type="spellEnd"/>
      <w:r>
        <w:rPr>
          <w:rFonts w:ascii="Times New Roman" w:hAnsi="Times New Roman" w:cs="Times New Roman"/>
          <w:sz w:val="24"/>
          <w:szCs w:val="24"/>
        </w:rPr>
        <w:t xml:space="preserve"> voor Nederland’, </w:t>
      </w:r>
      <w:r w:rsidRPr="00E5705B">
        <w:rPr>
          <w:rFonts w:ascii="Times New Roman" w:hAnsi="Times New Roman" w:cs="Times New Roman"/>
          <w:i/>
          <w:sz w:val="24"/>
          <w:szCs w:val="24"/>
        </w:rPr>
        <w:t>Maandschrift van het Centraal Bureau voor de Statistiek</w:t>
      </w:r>
      <w:r>
        <w:rPr>
          <w:rFonts w:ascii="Times New Roman" w:hAnsi="Times New Roman" w:cs="Times New Roman"/>
          <w:sz w:val="24"/>
          <w:szCs w:val="24"/>
        </w:rPr>
        <w:t xml:space="preserve"> 40, 210-216.</w:t>
      </w:r>
    </w:p>
    <w:p w:rsidR="00B213E3" w:rsidRPr="00B563E3" w:rsidRDefault="00B213E3" w:rsidP="00D7353E">
      <w:pPr>
        <w:spacing w:line="360" w:lineRule="auto"/>
        <w:jc w:val="both"/>
        <w:rPr>
          <w:rFonts w:ascii="Times New Roman" w:hAnsi="Times New Roman" w:cs="Times New Roman"/>
          <w:sz w:val="24"/>
          <w:szCs w:val="24"/>
          <w:lang w:val="en-US"/>
        </w:rPr>
      </w:pPr>
      <w:r w:rsidRPr="00B213E3">
        <w:rPr>
          <w:rFonts w:ascii="Times New Roman" w:hAnsi="Times New Roman" w:cs="Times New Roman"/>
          <w:i/>
          <w:sz w:val="24"/>
          <w:szCs w:val="24"/>
        </w:rPr>
        <w:t>Handboek</w:t>
      </w:r>
      <w:r>
        <w:rPr>
          <w:rFonts w:ascii="Times New Roman" w:hAnsi="Times New Roman" w:cs="Times New Roman"/>
          <w:sz w:val="24"/>
          <w:szCs w:val="24"/>
        </w:rPr>
        <w:t xml:space="preserve"> (1910-1940). </w:t>
      </w:r>
      <w:r w:rsidRPr="00B213E3">
        <w:rPr>
          <w:rFonts w:ascii="Times New Roman" w:hAnsi="Times New Roman" w:cs="Times New Roman"/>
          <w:i/>
          <w:sz w:val="24"/>
          <w:szCs w:val="24"/>
        </w:rPr>
        <w:t xml:space="preserve">Handboek voor Cultuur- en Handelsondernemingen in </w:t>
      </w:r>
      <w:proofErr w:type="spellStart"/>
      <w:r w:rsidRPr="00B213E3">
        <w:rPr>
          <w:rFonts w:ascii="Times New Roman" w:hAnsi="Times New Roman" w:cs="Times New Roman"/>
          <w:i/>
          <w:sz w:val="24"/>
          <w:szCs w:val="24"/>
        </w:rPr>
        <w:t>Nederlandsch-Indië</w:t>
      </w:r>
      <w:proofErr w:type="spellEnd"/>
      <w:r>
        <w:rPr>
          <w:rFonts w:ascii="Times New Roman" w:hAnsi="Times New Roman" w:cs="Times New Roman"/>
          <w:sz w:val="24"/>
          <w:szCs w:val="24"/>
        </w:rPr>
        <w:t xml:space="preserve">. </w:t>
      </w:r>
      <w:r w:rsidRPr="00B563E3">
        <w:rPr>
          <w:rFonts w:ascii="Times New Roman" w:hAnsi="Times New Roman" w:cs="Times New Roman"/>
          <w:sz w:val="24"/>
          <w:szCs w:val="24"/>
          <w:lang w:val="en-US"/>
        </w:rPr>
        <w:t xml:space="preserve">Amsterdam: de </w:t>
      </w:r>
      <w:proofErr w:type="spellStart"/>
      <w:r w:rsidRPr="00B563E3">
        <w:rPr>
          <w:rFonts w:ascii="Times New Roman" w:hAnsi="Times New Roman" w:cs="Times New Roman"/>
          <w:sz w:val="24"/>
          <w:szCs w:val="24"/>
          <w:lang w:val="en-US"/>
        </w:rPr>
        <w:t>Bussy</w:t>
      </w:r>
      <w:proofErr w:type="spellEnd"/>
      <w:r w:rsidRPr="00B563E3">
        <w:rPr>
          <w:rFonts w:ascii="Times New Roman" w:hAnsi="Times New Roman" w:cs="Times New Roman"/>
          <w:sz w:val="24"/>
          <w:szCs w:val="24"/>
          <w:lang w:val="en-US"/>
        </w:rPr>
        <w:t xml:space="preserve">. </w:t>
      </w:r>
    </w:p>
    <w:p w:rsidR="00111AA6" w:rsidRDefault="00BD71D0" w:rsidP="00D7353E">
      <w:pPr>
        <w:spacing w:line="360" w:lineRule="auto"/>
        <w:jc w:val="both"/>
        <w:rPr>
          <w:rFonts w:ascii="Times New Roman" w:hAnsi="Times New Roman" w:cs="Times New Roman"/>
          <w:sz w:val="24"/>
          <w:szCs w:val="24"/>
          <w:lang w:val="en-US"/>
        </w:rPr>
      </w:pPr>
      <w:proofErr w:type="spellStart"/>
      <w:r w:rsidRPr="00BD71D0">
        <w:rPr>
          <w:rFonts w:ascii="Times New Roman" w:hAnsi="Times New Roman" w:cs="Times New Roman"/>
          <w:sz w:val="24"/>
          <w:szCs w:val="24"/>
          <w:lang w:val="en-US"/>
        </w:rPr>
        <w:t>Lindblad</w:t>
      </w:r>
      <w:proofErr w:type="spellEnd"/>
      <w:r w:rsidRPr="00BD71D0">
        <w:rPr>
          <w:rFonts w:ascii="Times New Roman" w:hAnsi="Times New Roman" w:cs="Times New Roman"/>
          <w:sz w:val="24"/>
          <w:szCs w:val="24"/>
          <w:lang w:val="en-US"/>
        </w:rPr>
        <w:t xml:space="preserve">, </w:t>
      </w:r>
      <w:proofErr w:type="spellStart"/>
      <w:r w:rsidRPr="00BD71D0">
        <w:rPr>
          <w:rFonts w:ascii="Times New Roman" w:hAnsi="Times New Roman" w:cs="Times New Roman"/>
          <w:sz w:val="24"/>
          <w:szCs w:val="24"/>
          <w:lang w:val="en-US"/>
        </w:rPr>
        <w:t>J.Thomas</w:t>
      </w:r>
      <w:proofErr w:type="spellEnd"/>
      <w:r w:rsidRPr="00BD71D0">
        <w:rPr>
          <w:rFonts w:ascii="Times New Roman" w:hAnsi="Times New Roman" w:cs="Times New Roman"/>
          <w:sz w:val="24"/>
          <w:szCs w:val="24"/>
          <w:lang w:val="en-US"/>
        </w:rPr>
        <w:t xml:space="preserve"> (1998). </w:t>
      </w:r>
      <w:r w:rsidRPr="00BD71D0">
        <w:rPr>
          <w:rFonts w:ascii="Times New Roman" w:hAnsi="Times New Roman" w:cs="Times New Roman"/>
          <w:i/>
          <w:sz w:val="24"/>
          <w:szCs w:val="24"/>
          <w:lang w:val="en-US"/>
        </w:rPr>
        <w:t>Foreign Investment in Southeast Asia in the Twentieth Century</w:t>
      </w:r>
      <w:r w:rsidRPr="00BD71D0">
        <w:rPr>
          <w:rFonts w:ascii="Times New Roman" w:hAnsi="Times New Roman" w:cs="Times New Roman"/>
          <w:sz w:val="24"/>
          <w:szCs w:val="24"/>
          <w:lang w:val="en-US"/>
        </w:rPr>
        <w:t>.</w:t>
      </w:r>
      <w:r>
        <w:rPr>
          <w:rFonts w:ascii="Times New Roman" w:hAnsi="Times New Roman" w:cs="Times New Roman"/>
          <w:sz w:val="24"/>
          <w:szCs w:val="24"/>
          <w:lang w:val="en-US"/>
        </w:rPr>
        <w:t xml:space="preserve"> London: Macmillan.</w:t>
      </w:r>
    </w:p>
    <w:p w:rsidR="00E5705B" w:rsidRPr="00BD71D0" w:rsidRDefault="00111AA6" w:rsidP="00D7353E">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Lindblad</w:t>
      </w:r>
      <w:proofErr w:type="spellEnd"/>
      <w:r>
        <w:rPr>
          <w:rFonts w:ascii="Times New Roman" w:hAnsi="Times New Roman" w:cs="Times New Roman"/>
          <w:sz w:val="24"/>
          <w:szCs w:val="24"/>
          <w:lang w:val="en-US"/>
        </w:rPr>
        <w:t>, J. Thomas (2014). ‘Corporate structure and profit in colonial Indonesia, 1920-1930’, paper presented at the international workshop</w:t>
      </w:r>
      <w:r w:rsidR="00D65170">
        <w:rPr>
          <w:rFonts w:ascii="Times New Roman" w:hAnsi="Times New Roman" w:cs="Times New Roman"/>
          <w:sz w:val="24"/>
          <w:szCs w:val="24"/>
          <w:lang w:val="en-US"/>
        </w:rPr>
        <w:t xml:space="preserve"> on ‘</w:t>
      </w:r>
      <w:r>
        <w:rPr>
          <w:rFonts w:ascii="Times New Roman" w:hAnsi="Times New Roman" w:cs="Times New Roman"/>
          <w:sz w:val="24"/>
          <w:szCs w:val="24"/>
          <w:lang w:val="en-US"/>
        </w:rPr>
        <w:t xml:space="preserve">Foreign capital in colonial Southeast Asia: Profits, economic growth and indigenous society’, Leiden, 16-17 December. </w:t>
      </w:r>
      <w:r w:rsidR="00BD71D0">
        <w:rPr>
          <w:rFonts w:ascii="Times New Roman" w:hAnsi="Times New Roman" w:cs="Times New Roman"/>
          <w:sz w:val="24"/>
          <w:szCs w:val="24"/>
          <w:lang w:val="en-US"/>
        </w:rPr>
        <w:t xml:space="preserve"> </w:t>
      </w:r>
      <w:r w:rsidR="00E5705B" w:rsidRPr="00BD71D0">
        <w:rPr>
          <w:rFonts w:ascii="Times New Roman" w:hAnsi="Times New Roman" w:cs="Times New Roman"/>
          <w:sz w:val="24"/>
          <w:szCs w:val="24"/>
          <w:lang w:val="en-US"/>
        </w:rPr>
        <w:t xml:space="preserve"> </w:t>
      </w:r>
    </w:p>
    <w:p w:rsidR="001D56A7" w:rsidRDefault="00D65170" w:rsidP="00D735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Van der </w:t>
      </w:r>
      <w:proofErr w:type="spellStart"/>
      <w:r>
        <w:rPr>
          <w:rFonts w:ascii="Times New Roman" w:hAnsi="Times New Roman" w:cs="Times New Roman"/>
          <w:sz w:val="24"/>
          <w:szCs w:val="24"/>
          <w:lang w:val="en-US"/>
        </w:rPr>
        <w:t>Eng</w:t>
      </w:r>
      <w:proofErr w:type="spellEnd"/>
      <w:r>
        <w:rPr>
          <w:rFonts w:ascii="Times New Roman" w:hAnsi="Times New Roman" w:cs="Times New Roman"/>
          <w:sz w:val="24"/>
          <w:szCs w:val="24"/>
          <w:lang w:val="en-US"/>
        </w:rPr>
        <w:t>, Pierre (2014). ‘Extractive institutions, colonial drain and underdevelopment: The case of Indonesia’,  paper presented at the international workshop on ‘Foreign capital in colonial Southeast Asia: Profits, economic growth and indigenous society’, Leiden, 16-17 December.</w:t>
      </w:r>
    </w:p>
    <w:p w:rsidR="00D7353E" w:rsidRPr="00BD71D0" w:rsidRDefault="001D56A7" w:rsidP="00D7353E">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Zanden</w:t>
      </w:r>
      <w:proofErr w:type="spellEnd"/>
      <w:r>
        <w:rPr>
          <w:rFonts w:ascii="Times New Roman" w:hAnsi="Times New Roman" w:cs="Times New Roman"/>
          <w:sz w:val="24"/>
          <w:szCs w:val="24"/>
          <w:lang w:val="en-US"/>
        </w:rPr>
        <w:t xml:space="preserve">, Jan </w:t>
      </w:r>
      <w:proofErr w:type="spellStart"/>
      <w:r>
        <w:rPr>
          <w:rFonts w:ascii="Times New Roman" w:hAnsi="Times New Roman" w:cs="Times New Roman"/>
          <w:sz w:val="24"/>
          <w:szCs w:val="24"/>
          <w:lang w:val="en-US"/>
        </w:rPr>
        <w:t>Luyten</w:t>
      </w:r>
      <w:proofErr w:type="spellEnd"/>
      <w:r>
        <w:rPr>
          <w:rFonts w:ascii="Times New Roman" w:hAnsi="Times New Roman" w:cs="Times New Roman"/>
          <w:sz w:val="24"/>
          <w:szCs w:val="24"/>
          <w:lang w:val="en-US"/>
        </w:rPr>
        <w:t xml:space="preserve"> van (2007). </w:t>
      </w:r>
      <w:r w:rsidRPr="001D56A7">
        <w:rPr>
          <w:rFonts w:ascii="Times New Roman" w:hAnsi="Times New Roman" w:cs="Times New Roman"/>
          <w:i/>
          <w:sz w:val="24"/>
          <w:szCs w:val="24"/>
          <w:lang w:val="en-US"/>
        </w:rPr>
        <w:t>A History of Royal Dutch Shell. IV. Appendices</w:t>
      </w:r>
      <w:r>
        <w:rPr>
          <w:rFonts w:ascii="Times New Roman" w:hAnsi="Times New Roman" w:cs="Times New Roman"/>
          <w:sz w:val="24"/>
          <w:szCs w:val="24"/>
          <w:lang w:val="en-US"/>
        </w:rPr>
        <w:t>. Oxford: Oxford University Press.</w:t>
      </w:r>
      <w:r w:rsidR="00D65170">
        <w:rPr>
          <w:rFonts w:ascii="Times New Roman" w:hAnsi="Times New Roman" w:cs="Times New Roman"/>
          <w:sz w:val="24"/>
          <w:szCs w:val="24"/>
          <w:lang w:val="en-US"/>
        </w:rPr>
        <w:t xml:space="preserve"> </w:t>
      </w:r>
      <w:r w:rsidR="00E5705B" w:rsidRPr="00BD71D0">
        <w:rPr>
          <w:rFonts w:ascii="Times New Roman" w:hAnsi="Times New Roman" w:cs="Times New Roman"/>
          <w:sz w:val="24"/>
          <w:szCs w:val="24"/>
          <w:lang w:val="en-US"/>
        </w:rPr>
        <w:t xml:space="preserve"> </w:t>
      </w:r>
      <w:r w:rsidR="00D7353E" w:rsidRPr="00BD71D0">
        <w:rPr>
          <w:rFonts w:ascii="Times New Roman" w:hAnsi="Times New Roman" w:cs="Times New Roman"/>
          <w:sz w:val="24"/>
          <w:szCs w:val="24"/>
          <w:lang w:val="en-US"/>
        </w:rPr>
        <w:t xml:space="preserve"> </w:t>
      </w:r>
    </w:p>
    <w:p w:rsidR="001B5671" w:rsidRPr="00BD71D0" w:rsidRDefault="00D7353E" w:rsidP="00D7353E">
      <w:pPr>
        <w:spacing w:line="360" w:lineRule="auto"/>
        <w:jc w:val="both"/>
        <w:rPr>
          <w:rFonts w:ascii="Times New Roman" w:hAnsi="Times New Roman" w:cs="Times New Roman"/>
          <w:sz w:val="24"/>
          <w:szCs w:val="24"/>
          <w:lang w:val="en-US"/>
        </w:rPr>
      </w:pPr>
      <w:r w:rsidRPr="00BD71D0">
        <w:rPr>
          <w:rFonts w:ascii="Times New Roman" w:hAnsi="Times New Roman" w:cs="Times New Roman"/>
          <w:sz w:val="24"/>
          <w:szCs w:val="24"/>
          <w:lang w:val="en-US"/>
        </w:rPr>
        <w:t xml:space="preserve"> </w:t>
      </w:r>
    </w:p>
    <w:sectPr w:rsidR="001B5671" w:rsidRPr="00BD71D0" w:rsidSect="00403917">
      <w:footerReference w:type="default" r:id="rId14"/>
      <w:pgSz w:w="11906" w:h="16838"/>
      <w:pgMar w:top="1417" w:right="851" w:bottom="141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3F8" w:rsidRDefault="009523F8" w:rsidP="00A02DF9">
      <w:pPr>
        <w:spacing w:after="0" w:line="240" w:lineRule="auto"/>
      </w:pPr>
      <w:r>
        <w:separator/>
      </w:r>
    </w:p>
  </w:endnote>
  <w:endnote w:type="continuationSeparator" w:id="0">
    <w:p w:rsidR="009523F8" w:rsidRDefault="009523F8" w:rsidP="00A02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154810"/>
      <w:docPartObj>
        <w:docPartGallery w:val="Page Numbers (Bottom of Page)"/>
        <w:docPartUnique/>
      </w:docPartObj>
    </w:sdtPr>
    <w:sdtEndPr/>
    <w:sdtContent>
      <w:p w:rsidR="00A02DF9" w:rsidRDefault="00A02DF9">
        <w:pPr>
          <w:pStyle w:val="Footer"/>
          <w:jc w:val="center"/>
        </w:pPr>
        <w:r>
          <w:fldChar w:fldCharType="begin"/>
        </w:r>
        <w:r>
          <w:instrText>PAGE   \* MERGEFORMAT</w:instrText>
        </w:r>
        <w:r>
          <w:fldChar w:fldCharType="separate"/>
        </w:r>
        <w:r w:rsidR="000963C5">
          <w:rPr>
            <w:noProof/>
          </w:rPr>
          <w:t>10</w:t>
        </w:r>
        <w:r>
          <w:fldChar w:fldCharType="end"/>
        </w:r>
      </w:p>
    </w:sdtContent>
  </w:sdt>
  <w:p w:rsidR="00A02DF9" w:rsidRDefault="00A02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3F8" w:rsidRDefault="009523F8" w:rsidP="00A02DF9">
      <w:pPr>
        <w:spacing w:after="0" w:line="240" w:lineRule="auto"/>
      </w:pPr>
      <w:r>
        <w:separator/>
      </w:r>
    </w:p>
  </w:footnote>
  <w:footnote w:type="continuationSeparator" w:id="0">
    <w:p w:rsidR="009523F8" w:rsidRDefault="009523F8" w:rsidP="00A02DF9">
      <w:pPr>
        <w:spacing w:after="0" w:line="240" w:lineRule="auto"/>
      </w:pPr>
      <w:r>
        <w:continuationSeparator/>
      </w:r>
    </w:p>
  </w:footnote>
  <w:footnote w:id="1">
    <w:p w:rsidR="00096C0D" w:rsidRPr="00096C0D" w:rsidRDefault="00096C0D" w:rsidP="001B5671">
      <w:pPr>
        <w:pStyle w:val="FootnoteText"/>
        <w:jc w:val="both"/>
        <w:rPr>
          <w:rFonts w:ascii="Times New Roman" w:hAnsi="Times New Roman" w:cs="Times New Roman"/>
          <w:lang w:val="en-US"/>
        </w:rPr>
      </w:pPr>
      <w:r w:rsidRPr="00096C0D">
        <w:rPr>
          <w:rStyle w:val="FootnoteReference"/>
          <w:rFonts w:ascii="Times New Roman" w:hAnsi="Times New Roman" w:cs="Times New Roman"/>
        </w:rPr>
        <w:footnoteRef/>
      </w:r>
      <w:r w:rsidRPr="001B5671">
        <w:rPr>
          <w:rFonts w:ascii="Times New Roman" w:hAnsi="Times New Roman" w:cs="Times New Roman"/>
          <w:lang w:val="en-US"/>
        </w:rPr>
        <w:t xml:space="preserve"> </w:t>
      </w:r>
      <w:r w:rsidRPr="00096C0D">
        <w:rPr>
          <w:rFonts w:ascii="Times New Roman" w:hAnsi="Times New Roman" w:cs="Times New Roman"/>
          <w:lang w:val="en-US"/>
        </w:rPr>
        <w:t xml:space="preserve">The conference </w:t>
      </w:r>
      <w:r>
        <w:rPr>
          <w:rFonts w:ascii="Times New Roman" w:hAnsi="Times New Roman" w:cs="Times New Roman"/>
          <w:lang w:val="en-US"/>
        </w:rPr>
        <w:t xml:space="preserve">was </w:t>
      </w:r>
      <w:r w:rsidR="001B5671">
        <w:rPr>
          <w:rFonts w:ascii="Times New Roman" w:hAnsi="Times New Roman" w:cs="Times New Roman"/>
          <w:lang w:val="en-US"/>
        </w:rPr>
        <w:t xml:space="preserve">held under auspices of the research program ‘Foreign Capital and Colonial Development in Indonesia’, sponsored by the Netherlands Organization for Scientific Research (N.W.O.). </w:t>
      </w:r>
      <w:r w:rsidR="00E5705B">
        <w:rPr>
          <w:rFonts w:ascii="Times New Roman" w:hAnsi="Times New Roman" w:cs="Times New Roman"/>
          <w:lang w:val="en-US"/>
        </w:rPr>
        <w:t>The conference</w:t>
      </w:r>
      <w:r w:rsidR="001B5671">
        <w:rPr>
          <w:rFonts w:ascii="Times New Roman" w:hAnsi="Times New Roman" w:cs="Times New Roman"/>
          <w:lang w:val="en-US"/>
        </w:rPr>
        <w:t xml:space="preserve"> was organized by the Department of History at </w:t>
      </w:r>
      <w:proofErr w:type="spellStart"/>
      <w:r w:rsidR="001B5671">
        <w:rPr>
          <w:rFonts w:ascii="Times New Roman" w:hAnsi="Times New Roman" w:cs="Times New Roman"/>
          <w:lang w:val="en-US"/>
        </w:rPr>
        <w:t>Gadjah</w:t>
      </w:r>
      <w:proofErr w:type="spellEnd"/>
      <w:r w:rsidR="001B5671">
        <w:rPr>
          <w:rFonts w:ascii="Times New Roman" w:hAnsi="Times New Roman" w:cs="Times New Roman"/>
          <w:lang w:val="en-US"/>
        </w:rPr>
        <w:t xml:space="preserve"> </w:t>
      </w:r>
      <w:proofErr w:type="spellStart"/>
      <w:r w:rsidR="001B5671">
        <w:rPr>
          <w:rFonts w:ascii="Times New Roman" w:hAnsi="Times New Roman" w:cs="Times New Roman"/>
          <w:lang w:val="en-US"/>
        </w:rPr>
        <w:t>Mada</w:t>
      </w:r>
      <w:proofErr w:type="spellEnd"/>
      <w:r w:rsidR="001B5671">
        <w:rPr>
          <w:rFonts w:ascii="Times New Roman" w:hAnsi="Times New Roman" w:cs="Times New Roman"/>
          <w:lang w:val="en-US"/>
        </w:rPr>
        <w:t xml:space="preserve"> University in Yogyakarta. I am particularly grateful to Dr. </w:t>
      </w:r>
      <w:proofErr w:type="spellStart"/>
      <w:r w:rsidR="001B5671">
        <w:rPr>
          <w:rFonts w:ascii="Times New Roman" w:hAnsi="Times New Roman" w:cs="Times New Roman"/>
          <w:lang w:val="en-US"/>
        </w:rPr>
        <w:t>Farabi</w:t>
      </w:r>
      <w:proofErr w:type="spellEnd"/>
      <w:r w:rsidR="001B5671">
        <w:rPr>
          <w:rFonts w:ascii="Times New Roman" w:hAnsi="Times New Roman" w:cs="Times New Roman"/>
          <w:lang w:val="en-US"/>
        </w:rPr>
        <w:t xml:space="preserve"> </w:t>
      </w:r>
      <w:proofErr w:type="spellStart"/>
      <w:r w:rsidR="001B5671">
        <w:rPr>
          <w:rFonts w:ascii="Times New Roman" w:hAnsi="Times New Roman" w:cs="Times New Roman"/>
          <w:lang w:val="en-US"/>
        </w:rPr>
        <w:t>Fakih</w:t>
      </w:r>
      <w:proofErr w:type="spellEnd"/>
      <w:r w:rsidR="001B5671">
        <w:rPr>
          <w:rFonts w:ascii="Times New Roman" w:hAnsi="Times New Roman" w:cs="Times New Roman"/>
          <w:lang w:val="en-US"/>
        </w:rPr>
        <w:t xml:space="preserve"> for his efforts in organizing the event.   </w:t>
      </w:r>
    </w:p>
  </w:footnote>
  <w:footnote w:id="2">
    <w:p w:rsidR="00270DE8" w:rsidRPr="00270DE8" w:rsidRDefault="00270DE8" w:rsidP="003753BA">
      <w:pPr>
        <w:pStyle w:val="FootnoteText"/>
        <w:jc w:val="both"/>
        <w:rPr>
          <w:rFonts w:ascii="Times New Roman" w:hAnsi="Times New Roman" w:cs="Times New Roman"/>
          <w:lang w:val="en-US"/>
        </w:rPr>
      </w:pPr>
      <w:r w:rsidRPr="00270DE8">
        <w:rPr>
          <w:rStyle w:val="FootnoteReference"/>
          <w:rFonts w:ascii="Times New Roman" w:hAnsi="Times New Roman" w:cs="Times New Roman"/>
        </w:rPr>
        <w:footnoteRef/>
      </w:r>
      <w:r w:rsidRPr="00270DE8">
        <w:rPr>
          <w:rFonts w:ascii="Times New Roman" w:hAnsi="Times New Roman" w:cs="Times New Roman"/>
          <w:lang w:val="en-US"/>
        </w:rPr>
        <w:t xml:space="preserve"> The database </w:t>
      </w:r>
      <w:r>
        <w:rPr>
          <w:rFonts w:ascii="Times New Roman" w:hAnsi="Times New Roman" w:cs="Times New Roman"/>
          <w:lang w:val="en-US"/>
        </w:rPr>
        <w:t xml:space="preserve">with information from the </w:t>
      </w:r>
      <w:proofErr w:type="spellStart"/>
      <w:r w:rsidRPr="00270DE8">
        <w:rPr>
          <w:rFonts w:ascii="Times New Roman" w:hAnsi="Times New Roman" w:cs="Times New Roman"/>
          <w:i/>
          <w:lang w:val="en-US"/>
        </w:rPr>
        <w:t>Handboek</w:t>
      </w:r>
      <w:proofErr w:type="spellEnd"/>
      <w:r>
        <w:rPr>
          <w:rFonts w:ascii="Times New Roman" w:hAnsi="Times New Roman" w:cs="Times New Roman"/>
          <w:lang w:val="en-US"/>
        </w:rPr>
        <w:t xml:space="preserve"> will be made accessible through the website </w:t>
      </w:r>
      <w:r w:rsidRPr="00270DE8">
        <w:rPr>
          <w:rFonts w:ascii="Times New Roman" w:hAnsi="Times New Roman" w:cs="Times New Roman"/>
          <w:u w:val="single"/>
          <w:lang w:val="en-US"/>
        </w:rPr>
        <w:t>colonialbusinessindonesia.nl</w:t>
      </w:r>
      <w:r w:rsidR="003753BA">
        <w:rPr>
          <w:rFonts w:ascii="Times New Roman" w:hAnsi="Times New Roman" w:cs="Times New Roman"/>
          <w:lang w:val="en-US"/>
        </w:rPr>
        <w:t>, whereas s</w:t>
      </w:r>
      <w:r>
        <w:rPr>
          <w:rFonts w:ascii="Times New Roman" w:hAnsi="Times New Roman" w:cs="Times New Roman"/>
          <w:lang w:val="en-US"/>
        </w:rPr>
        <w:t xml:space="preserve">hare price data may be found at the website of the </w:t>
      </w:r>
      <w:r w:rsidR="00F056C1">
        <w:rPr>
          <w:rFonts w:ascii="Times New Roman" w:hAnsi="Times New Roman" w:cs="Times New Roman"/>
          <w:lang w:val="en-US"/>
        </w:rPr>
        <w:t>F</w:t>
      </w:r>
      <w:r w:rsidR="003753BA">
        <w:rPr>
          <w:rFonts w:ascii="Times New Roman" w:hAnsi="Times New Roman" w:cs="Times New Roman"/>
          <w:lang w:val="en-US"/>
        </w:rPr>
        <w:t>oundation Capital Amsterdam</w:t>
      </w:r>
      <w:r w:rsidR="00F056C1">
        <w:rPr>
          <w:rFonts w:ascii="Times New Roman" w:hAnsi="Times New Roman" w:cs="Times New Roman"/>
          <w:lang w:val="en-US"/>
        </w:rPr>
        <w:t xml:space="preserve"> (www.capitalamsterdam</w:t>
      </w:r>
      <w:r w:rsidR="003753BA">
        <w:rPr>
          <w:rFonts w:ascii="Times New Roman" w:hAnsi="Times New Roman" w:cs="Times New Roman"/>
          <w:lang w:val="en-US"/>
        </w:rPr>
        <w:t>.</w:t>
      </w:r>
      <w:r w:rsidR="00F056C1">
        <w:rPr>
          <w:rFonts w:ascii="Times New Roman" w:hAnsi="Times New Roman" w:cs="Times New Roman"/>
          <w:lang w:val="en-US"/>
        </w:rPr>
        <w:t>com).</w:t>
      </w:r>
      <w:r w:rsidR="003753BA">
        <w:rPr>
          <w:rFonts w:ascii="Times New Roman" w:hAnsi="Times New Roman" w:cs="Times New Roman"/>
          <w:lang w:val="en-US"/>
        </w:rPr>
        <w:t xml:space="preserve"> I gladly acknowledge the contributions by Thomas de </w:t>
      </w:r>
      <w:proofErr w:type="spellStart"/>
      <w:r w:rsidR="003753BA">
        <w:rPr>
          <w:rFonts w:ascii="Times New Roman" w:hAnsi="Times New Roman" w:cs="Times New Roman"/>
          <w:lang w:val="en-US"/>
        </w:rPr>
        <w:t>Greeve</w:t>
      </w:r>
      <w:proofErr w:type="spellEnd"/>
      <w:r w:rsidR="003753BA">
        <w:rPr>
          <w:rFonts w:ascii="Times New Roman" w:hAnsi="Times New Roman" w:cs="Times New Roman"/>
          <w:lang w:val="en-US"/>
        </w:rPr>
        <w:t xml:space="preserve"> and </w:t>
      </w:r>
      <w:proofErr w:type="spellStart"/>
      <w:r w:rsidR="003753BA">
        <w:rPr>
          <w:rFonts w:ascii="Times New Roman" w:hAnsi="Times New Roman" w:cs="Times New Roman"/>
          <w:lang w:val="en-US"/>
        </w:rPr>
        <w:t>Jelmer</w:t>
      </w:r>
      <w:proofErr w:type="spellEnd"/>
      <w:r w:rsidR="003753BA">
        <w:rPr>
          <w:rFonts w:ascii="Times New Roman" w:hAnsi="Times New Roman" w:cs="Times New Roman"/>
          <w:lang w:val="en-US"/>
        </w:rPr>
        <w:t xml:space="preserve"> </w:t>
      </w:r>
      <w:proofErr w:type="spellStart"/>
      <w:r w:rsidR="003753BA">
        <w:rPr>
          <w:rFonts w:ascii="Times New Roman" w:hAnsi="Times New Roman" w:cs="Times New Roman"/>
          <w:lang w:val="en-US"/>
        </w:rPr>
        <w:t>Puylaert</w:t>
      </w:r>
      <w:proofErr w:type="spellEnd"/>
      <w:r w:rsidR="003753BA">
        <w:rPr>
          <w:rFonts w:ascii="Times New Roman" w:hAnsi="Times New Roman" w:cs="Times New Roman"/>
          <w:lang w:val="en-US"/>
        </w:rPr>
        <w:t xml:space="preserve"> in constructing the </w:t>
      </w:r>
      <w:proofErr w:type="spellStart"/>
      <w:r w:rsidR="003753BA" w:rsidRPr="003753BA">
        <w:rPr>
          <w:rFonts w:ascii="Times New Roman" w:hAnsi="Times New Roman" w:cs="Times New Roman"/>
          <w:i/>
          <w:lang w:val="en-US"/>
        </w:rPr>
        <w:t>Handboek</w:t>
      </w:r>
      <w:proofErr w:type="spellEnd"/>
      <w:r w:rsidR="003753BA">
        <w:rPr>
          <w:rFonts w:ascii="Times New Roman" w:hAnsi="Times New Roman" w:cs="Times New Roman"/>
          <w:lang w:val="en-US"/>
        </w:rPr>
        <w:t xml:space="preserve"> database and by Jasper van der </w:t>
      </w:r>
      <w:proofErr w:type="spellStart"/>
      <w:r w:rsidR="003753BA">
        <w:rPr>
          <w:rFonts w:ascii="Times New Roman" w:hAnsi="Times New Roman" w:cs="Times New Roman"/>
          <w:lang w:val="en-US"/>
        </w:rPr>
        <w:t>Schoot</w:t>
      </w:r>
      <w:proofErr w:type="spellEnd"/>
      <w:r w:rsidR="003753BA">
        <w:rPr>
          <w:rFonts w:ascii="Times New Roman" w:hAnsi="Times New Roman" w:cs="Times New Roman"/>
          <w:lang w:val="en-US"/>
        </w:rPr>
        <w:t xml:space="preserve"> in processing the </w:t>
      </w:r>
      <w:r w:rsidR="00F056C1">
        <w:rPr>
          <w:rFonts w:ascii="Times New Roman" w:hAnsi="Times New Roman" w:cs="Times New Roman"/>
          <w:lang w:val="en-US"/>
        </w:rPr>
        <w:t>Capital Amsterdam</w:t>
      </w:r>
      <w:r w:rsidR="003753BA">
        <w:rPr>
          <w:rFonts w:ascii="Times New Roman" w:hAnsi="Times New Roman" w:cs="Times New Roman"/>
          <w:lang w:val="en-US"/>
        </w:rPr>
        <w:t xml:space="preserve"> data. </w:t>
      </w:r>
      <w:r>
        <w:rPr>
          <w:rFonts w:ascii="Times New Roman" w:hAnsi="Times New Roman" w:cs="Times New Roman"/>
          <w:lang w:val="en-US"/>
        </w:rPr>
        <w:t xml:space="preserve"> </w:t>
      </w:r>
    </w:p>
  </w:footnote>
  <w:footnote w:id="3">
    <w:p w:rsidR="00B213E3" w:rsidRPr="00B213E3" w:rsidRDefault="00B213E3">
      <w:pPr>
        <w:pStyle w:val="FootnoteText"/>
        <w:rPr>
          <w:rFonts w:ascii="Times New Roman" w:hAnsi="Times New Roman" w:cs="Times New Roman"/>
          <w:lang w:val="en-US"/>
        </w:rPr>
      </w:pPr>
      <w:r w:rsidRPr="00B213E3">
        <w:rPr>
          <w:rStyle w:val="FootnoteReference"/>
          <w:rFonts w:ascii="Times New Roman" w:hAnsi="Times New Roman" w:cs="Times New Roman"/>
        </w:rPr>
        <w:footnoteRef/>
      </w:r>
      <w:r w:rsidRPr="00B213E3">
        <w:rPr>
          <w:rFonts w:ascii="Times New Roman" w:hAnsi="Times New Roman" w:cs="Times New Roman"/>
          <w:lang w:val="en-US"/>
        </w:rPr>
        <w:t xml:space="preserve"> </w:t>
      </w:r>
      <w:r w:rsidR="006D0BB4">
        <w:rPr>
          <w:rFonts w:ascii="Times New Roman" w:hAnsi="Times New Roman" w:cs="Times New Roman"/>
          <w:lang w:val="en-US"/>
        </w:rPr>
        <w:t>Us</w:t>
      </w:r>
      <w:r>
        <w:rPr>
          <w:rFonts w:ascii="Times New Roman" w:hAnsi="Times New Roman" w:cs="Times New Roman"/>
          <w:lang w:val="en-US"/>
        </w:rPr>
        <w:t>e o</w:t>
      </w:r>
      <w:r w:rsidR="006D0BB4">
        <w:rPr>
          <w:rFonts w:ascii="Times New Roman" w:hAnsi="Times New Roman" w:cs="Times New Roman"/>
          <w:lang w:val="en-US"/>
        </w:rPr>
        <w:t>f</w:t>
      </w:r>
      <w:r>
        <w:rPr>
          <w:rFonts w:ascii="Times New Roman" w:hAnsi="Times New Roman" w:cs="Times New Roman"/>
          <w:lang w:val="en-US"/>
        </w:rPr>
        <w:t xml:space="preserve"> spot estimates</w:t>
      </w:r>
      <w:r w:rsidR="006D0BB4">
        <w:rPr>
          <w:rFonts w:ascii="Times New Roman" w:hAnsi="Times New Roman" w:cs="Times New Roman"/>
          <w:lang w:val="en-US"/>
        </w:rPr>
        <w:t xml:space="preserve"> separated by intervals of five years implies t</w:t>
      </w:r>
      <w:r>
        <w:rPr>
          <w:rFonts w:ascii="Times New Roman" w:hAnsi="Times New Roman" w:cs="Times New Roman"/>
          <w:lang w:val="en-US"/>
        </w:rPr>
        <w:t xml:space="preserve">hat the situation in any given year may be considered an independent event. Therefore, it is logical to apply arithmetic rather than a geometric averages.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DF9"/>
    <w:rsid w:val="00094628"/>
    <w:rsid w:val="000963C5"/>
    <w:rsid w:val="00096C0D"/>
    <w:rsid w:val="000C24E1"/>
    <w:rsid w:val="000C5A43"/>
    <w:rsid w:val="000D33A0"/>
    <w:rsid w:val="00111AA6"/>
    <w:rsid w:val="001B5671"/>
    <w:rsid w:val="001D56A7"/>
    <w:rsid w:val="001D6340"/>
    <w:rsid w:val="001D6663"/>
    <w:rsid w:val="001E08EF"/>
    <w:rsid w:val="001F0954"/>
    <w:rsid w:val="002306DE"/>
    <w:rsid w:val="00245F93"/>
    <w:rsid w:val="00270DE8"/>
    <w:rsid w:val="002B7BDE"/>
    <w:rsid w:val="002C4E99"/>
    <w:rsid w:val="00316692"/>
    <w:rsid w:val="003478F9"/>
    <w:rsid w:val="00363CC1"/>
    <w:rsid w:val="003720A3"/>
    <w:rsid w:val="003753BA"/>
    <w:rsid w:val="003A274C"/>
    <w:rsid w:val="003C34C7"/>
    <w:rsid w:val="00403917"/>
    <w:rsid w:val="00410D94"/>
    <w:rsid w:val="0043104F"/>
    <w:rsid w:val="00446B63"/>
    <w:rsid w:val="00464425"/>
    <w:rsid w:val="00563DBC"/>
    <w:rsid w:val="00574A17"/>
    <w:rsid w:val="00625E9A"/>
    <w:rsid w:val="006D0BB4"/>
    <w:rsid w:val="006D0BCE"/>
    <w:rsid w:val="006D4E48"/>
    <w:rsid w:val="006E17B6"/>
    <w:rsid w:val="0076328F"/>
    <w:rsid w:val="007A0489"/>
    <w:rsid w:val="007A095D"/>
    <w:rsid w:val="007B7214"/>
    <w:rsid w:val="007C0CA0"/>
    <w:rsid w:val="008876A5"/>
    <w:rsid w:val="008A2481"/>
    <w:rsid w:val="008D5DEA"/>
    <w:rsid w:val="00906992"/>
    <w:rsid w:val="009523F8"/>
    <w:rsid w:val="00960D3A"/>
    <w:rsid w:val="00A02DF9"/>
    <w:rsid w:val="00A13A06"/>
    <w:rsid w:val="00A20CAA"/>
    <w:rsid w:val="00A620D3"/>
    <w:rsid w:val="00A673F0"/>
    <w:rsid w:val="00A80705"/>
    <w:rsid w:val="00A8242B"/>
    <w:rsid w:val="00A90F95"/>
    <w:rsid w:val="00AC6B68"/>
    <w:rsid w:val="00B17A6C"/>
    <w:rsid w:val="00B213E3"/>
    <w:rsid w:val="00B2334C"/>
    <w:rsid w:val="00B563E3"/>
    <w:rsid w:val="00B7179C"/>
    <w:rsid w:val="00B76F29"/>
    <w:rsid w:val="00BB6D58"/>
    <w:rsid w:val="00BD71D0"/>
    <w:rsid w:val="00C039C1"/>
    <w:rsid w:val="00C12F5C"/>
    <w:rsid w:val="00C44A0B"/>
    <w:rsid w:val="00C63B7C"/>
    <w:rsid w:val="00C96373"/>
    <w:rsid w:val="00CB21B7"/>
    <w:rsid w:val="00CD309D"/>
    <w:rsid w:val="00CD76B3"/>
    <w:rsid w:val="00CE28BC"/>
    <w:rsid w:val="00CE4EA2"/>
    <w:rsid w:val="00CF6677"/>
    <w:rsid w:val="00D00417"/>
    <w:rsid w:val="00D12D62"/>
    <w:rsid w:val="00D14E5F"/>
    <w:rsid w:val="00D34692"/>
    <w:rsid w:val="00D379D3"/>
    <w:rsid w:val="00D42C7D"/>
    <w:rsid w:val="00D65170"/>
    <w:rsid w:val="00D7353E"/>
    <w:rsid w:val="00D86953"/>
    <w:rsid w:val="00DA4B25"/>
    <w:rsid w:val="00DB1DEE"/>
    <w:rsid w:val="00DE3AEA"/>
    <w:rsid w:val="00DF6F4A"/>
    <w:rsid w:val="00E16132"/>
    <w:rsid w:val="00E27BA1"/>
    <w:rsid w:val="00E32800"/>
    <w:rsid w:val="00E55461"/>
    <w:rsid w:val="00E5705B"/>
    <w:rsid w:val="00EB48B6"/>
    <w:rsid w:val="00F056C1"/>
    <w:rsid w:val="00F12E84"/>
    <w:rsid w:val="00F166D7"/>
    <w:rsid w:val="00F5024C"/>
    <w:rsid w:val="00F56415"/>
    <w:rsid w:val="00F716B8"/>
    <w:rsid w:val="00F74BFF"/>
    <w:rsid w:val="00F8669C"/>
    <w:rsid w:val="00F90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DF9"/>
    <w:rPr>
      <w:color w:val="0000FF" w:themeColor="hyperlink"/>
      <w:u w:val="single"/>
    </w:rPr>
  </w:style>
  <w:style w:type="paragraph" w:styleId="Header">
    <w:name w:val="header"/>
    <w:basedOn w:val="Normal"/>
    <w:link w:val="HeaderChar"/>
    <w:uiPriority w:val="99"/>
    <w:unhideWhenUsed/>
    <w:rsid w:val="00A02D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2DF9"/>
  </w:style>
  <w:style w:type="paragraph" w:styleId="Footer">
    <w:name w:val="footer"/>
    <w:basedOn w:val="Normal"/>
    <w:link w:val="FooterChar"/>
    <w:uiPriority w:val="99"/>
    <w:unhideWhenUsed/>
    <w:rsid w:val="00A02D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2DF9"/>
  </w:style>
  <w:style w:type="paragraph" w:styleId="FootnoteText">
    <w:name w:val="footnote text"/>
    <w:basedOn w:val="Normal"/>
    <w:link w:val="FootnoteTextChar"/>
    <w:uiPriority w:val="99"/>
    <w:semiHidden/>
    <w:unhideWhenUsed/>
    <w:rsid w:val="00096C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6C0D"/>
    <w:rPr>
      <w:sz w:val="20"/>
      <w:szCs w:val="20"/>
    </w:rPr>
  </w:style>
  <w:style w:type="character" w:styleId="FootnoteReference">
    <w:name w:val="footnote reference"/>
    <w:basedOn w:val="DefaultParagraphFont"/>
    <w:uiPriority w:val="99"/>
    <w:semiHidden/>
    <w:unhideWhenUsed/>
    <w:rsid w:val="00096C0D"/>
    <w:rPr>
      <w:vertAlign w:val="superscript"/>
    </w:rPr>
  </w:style>
  <w:style w:type="paragraph" w:styleId="BalloonText">
    <w:name w:val="Balloon Text"/>
    <w:basedOn w:val="Normal"/>
    <w:link w:val="BalloonTextChar"/>
    <w:uiPriority w:val="99"/>
    <w:semiHidden/>
    <w:unhideWhenUsed/>
    <w:rsid w:val="00B71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79C"/>
    <w:rPr>
      <w:rFonts w:ascii="Tahoma" w:hAnsi="Tahoma" w:cs="Tahoma"/>
      <w:sz w:val="16"/>
      <w:szCs w:val="16"/>
    </w:rPr>
  </w:style>
  <w:style w:type="table" w:styleId="TableGrid">
    <w:name w:val="Table Grid"/>
    <w:basedOn w:val="TableNormal"/>
    <w:uiPriority w:val="59"/>
    <w:rsid w:val="006D0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DF9"/>
    <w:rPr>
      <w:color w:val="0000FF" w:themeColor="hyperlink"/>
      <w:u w:val="single"/>
    </w:rPr>
  </w:style>
  <w:style w:type="paragraph" w:styleId="Header">
    <w:name w:val="header"/>
    <w:basedOn w:val="Normal"/>
    <w:link w:val="HeaderChar"/>
    <w:uiPriority w:val="99"/>
    <w:unhideWhenUsed/>
    <w:rsid w:val="00A02D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2DF9"/>
  </w:style>
  <w:style w:type="paragraph" w:styleId="Footer">
    <w:name w:val="footer"/>
    <w:basedOn w:val="Normal"/>
    <w:link w:val="FooterChar"/>
    <w:uiPriority w:val="99"/>
    <w:unhideWhenUsed/>
    <w:rsid w:val="00A02D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2DF9"/>
  </w:style>
  <w:style w:type="paragraph" w:styleId="FootnoteText">
    <w:name w:val="footnote text"/>
    <w:basedOn w:val="Normal"/>
    <w:link w:val="FootnoteTextChar"/>
    <w:uiPriority w:val="99"/>
    <w:semiHidden/>
    <w:unhideWhenUsed/>
    <w:rsid w:val="00096C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6C0D"/>
    <w:rPr>
      <w:sz w:val="20"/>
      <w:szCs w:val="20"/>
    </w:rPr>
  </w:style>
  <w:style w:type="character" w:styleId="FootnoteReference">
    <w:name w:val="footnote reference"/>
    <w:basedOn w:val="DefaultParagraphFont"/>
    <w:uiPriority w:val="99"/>
    <w:semiHidden/>
    <w:unhideWhenUsed/>
    <w:rsid w:val="00096C0D"/>
    <w:rPr>
      <w:vertAlign w:val="superscript"/>
    </w:rPr>
  </w:style>
  <w:style w:type="paragraph" w:styleId="BalloonText">
    <w:name w:val="Balloon Text"/>
    <w:basedOn w:val="Normal"/>
    <w:link w:val="BalloonTextChar"/>
    <w:uiPriority w:val="99"/>
    <w:semiHidden/>
    <w:unhideWhenUsed/>
    <w:rsid w:val="00B71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79C"/>
    <w:rPr>
      <w:rFonts w:ascii="Tahoma" w:hAnsi="Tahoma" w:cs="Tahoma"/>
      <w:sz w:val="16"/>
      <w:szCs w:val="16"/>
    </w:rPr>
  </w:style>
  <w:style w:type="table" w:styleId="TableGrid">
    <w:name w:val="Table Grid"/>
    <w:basedOn w:val="TableNormal"/>
    <w:uiPriority w:val="59"/>
    <w:rsid w:val="006D0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13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lindblad@hotmail.com" TargetMode="Externa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Dividend</c:v>
                </c:pt>
              </c:strCache>
            </c:strRef>
          </c:tx>
          <c:invertIfNegative val="0"/>
          <c:cat>
            <c:strRef>
              <c:f>Sheet1!$A$2:$A$8</c:f>
              <c:strCache>
                <c:ptCount val="7"/>
                <c:pt idx="0">
                  <c:v>Deli tobacco</c:v>
                </c:pt>
                <c:pt idx="1">
                  <c:v>Sugar</c:v>
                </c:pt>
                <c:pt idx="2">
                  <c:v>Oil</c:v>
                </c:pt>
                <c:pt idx="3">
                  <c:v>Tin</c:v>
                </c:pt>
                <c:pt idx="4">
                  <c:v>Java tobacco</c:v>
                </c:pt>
                <c:pt idx="5">
                  <c:v>Tea</c:v>
                </c:pt>
                <c:pt idx="6">
                  <c:v>Rubber</c:v>
                </c:pt>
              </c:strCache>
            </c:strRef>
          </c:cat>
          <c:val>
            <c:numRef>
              <c:f>Sheet1!$B$2:$B$8</c:f>
              <c:numCache>
                <c:formatCode>General</c:formatCode>
                <c:ptCount val="7"/>
                <c:pt idx="0">
                  <c:v>31</c:v>
                </c:pt>
                <c:pt idx="1">
                  <c:v>29</c:v>
                </c:pt>
                <c:pt idx="2">
                  <c:v>22</c:v>
                </c:pt>
                <c:pt idx="3">
                  <c:v>21</c:v>
                </c:pt>
                <c:pt idx="4">
                  <c:v>18</c:v>
                </c:pt>
                <c:pt idx="5">
                  <c:v>18</c:v>
                </c:pt>
                <c:pt idx="6">
                  <c:v>10</c:v>
                </c:pt>
              </c:numCache>
            </c:numRef>
          </c:val>
        </c:ser>
        <c:ser>
          <c:idx val="1"/>
          <c:order val="1"/>
          <c:tx>
            <c:strRef>
              <c:f>Sheet1!$C$1</c:f>
              <c:strCache>
                <c:ptCount val="1"/>
                <c:pt idx="0">
                  <c:v>Real gain</c:v>
                </c:pt>
              </c:strCache>
            </c:strRef>
          </c:tx>
          <c:invertIfNegative val="0"/>
          <c:cat>
            <c:strRef>
              <c:f>Sheet1!$A$2:$A$8</c:f>
              <c:strCache>
                <c:ptCount val="7"/>
                <c:pt idx="0">
                  <c:v>Deli tobacco</c:v>
                </c:pt>
                <c:pt idx="1">
                  <c:v>Sugar</c:v>
                </c:pt>
                <c:pt idx="2">
                  <c:v>Oil</c:v>
                </c:pt>
                <c:pt idx="3">
                  <c:v>Tin</c:v>
                </c:pt>
                <c:pt idx="4">
                  <c:v>Java tobacco</c:v>
                </c:pt>
                <c:pt idx="5">
                  <c:v>Tea</c:v>
                </c:pt>
                <c:pt idx="6">
                  <c:v>Rubber</c:v>
                </c:pt>
              </c:strCache>
            </c:strRef>
          </c:cat>
          <c:val>
            <c:numRef>
              <c:f>Sheet1!$C$2:$C$8</c:f>
              <c:numCache>
                <c:formatCode>General</c:formatCode>
                <c:ptCount val="7"/>
                <c:pt idx="0">
                  <c:v>0</c:v>
                </c:pt>
                <c:pt idx="1">
                  <c:v>0</c:v>
                </c:pt>
                <c:pt idx="2">
                  <c:v>0</c:v>
                </c:pt>
                <c:pt idx="3">
                  <c:v>0</c:v>
                </c:pt>
                <c:pt idx="4">
                  <c:v>0</c:v>
                </c:pt>
                <c:pt idx="5">
                  <c:v>8</c:v>
                </c:pt>
                <c:pt idx="6">
                  <c:v>6</c:v>
                </c:pt>
              </c:numCache>
            </c:numRef>
          </c:val>
        </c:ser>
        <c:dLbls>
          <c:showLegendKey val="0"/>
          <c:showVal val="0"/>
          <c:showCatName val="0"/>
          <c:showSerName val="0"/>
          <c:showPercent val="0"/>
          <c:showBubbleSize val="0"/>
        </c:dLbls>
        <c:gapWidth val="150"/>
        <c:axId val="41149952"/>
        <c:axId val="41151488"/>
      </c:barChart>
      <c:catAx>
        <c:axId val="41149952"/>
        <c:scaling>
          <c:orientation val="minMax"/>
        </c:scaling>
        <c:delete val="0"/>
        <c:axPos val="b"/>
        <c:majorTickMark val="out"/>
        <c:minorTickMark val="none"/>
        <c:tickLblPos val="nextTo"/>
        <c:crossAx val="41151488"/>
        <c:crosses val="autoZero"/>
        <c:auto val="1"/>
        <c:lblAlgn val="ctr"/>
        <c:lblOffset val="100"/>
        <c:noMultiLvlLbl val="0"/>
      </c:catAx>
      <c:valAx>
        <c:axId val="41151488"/>
        <c:scaling>
          <c:orientation val="minMax"/>
        </c:scaling>
        <c:delete val="0"/>
        <c:axPos val="l"/>
        <c:majorGridlines/>
        <c:numFmt formatCode="General" sourceLinked="1"/>
        <c:majorTickMark val="out"/>
        <c:minorTickMark val="none"/>
        <c:tickLblPos val="nextTo"/>
        <c:crossAx val="4114995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Nominal</c:v>
                </c:pt>
              </c:strCache>
            </c:strRef>
          </c:tx>
          <c:invertIfNegative val="0"/>
          <c:cat>
            <c:numRef>
              <c:f>Sheet1!$A$2:$A$8</c:f>
              <c:numCache>
                <c:formatCode>General</c:formatCode>
                <c:ptCount val="7"/>
                <c:pt idx="0">
                  <c:v>1910</c:v>
                </c:pt>
                <c:pt idx="1">
                  <c:v>1915</c:v>
                </c:pt>
                <c:pt idx="2">
                  <c:v>1920</c:v>
                </c:pt>
                <c:pt idx="3">
                  <c:v>1925</c:v>
                </c:pt>
                <c:pt idx="4">
                  <c:v>1930</c:v>
                </c:pt>
                <c:pt idx="5">
                  <c:v>1935</c:v>
                </c:pt>
                <c:pt idx="6">
                  <c:v>1940</c:v>
                </c:pt>
              </c:numCache>
            </c:numRef>
          </c:cat>
          <c:val>
            <c:numRef>
              <c:f>Sheet1!$B$2:$B$8</c:f>
              <c:numCache>
                <c:formatCode>General</c:formatCode>
                <c:ptCount val="7"/>
                <c:pt idx="0">
                  <c:v>11</c:v>
                </c:pt>
                <c:pt idx="1">
                  <c:v>13.2</c:v>
                </c:pt>
                <c:pt idx="2">
                  <c:v>17.600000000000001</c:v>
                </c:pt>
                <c:pt idx="3">
                  <c:v>16.7</c:v>
                </c:pt>
                <c:pt idx="4">
                  <c:v>18.5</c:v>
                </c:pt>
                <c:pt idx="5">
                  <c:v>9.4</c:v>
                </c:pt>
                <c:pt idx="6">
                  <c:v>8.9</c:v>
                </c:pt>
              </c:numCache>
            </c:numRef>
          </c:val>
        </c:ser>
        <c:ser>
          <c:idx val="1"/>
          <c:order val="1"/>
          <c:tx>
            <c:strRef>
              <c:f>Sheet1!$C$1</c:f>
              <c:strCache>
                <c:ptCount val="1"/>
                <c:pt idx="0">
                  <c:v>Adjusted</c:v>
                </c:pt>
              </c:strCache>
            </c:strRef>
          </c:tx>
          <c:invertIfNegative val="0"/>
          <c:cat>
            <c:numRef>
              <c:f>Sheet1!$A$2:$A$8</c:f>
              <c:numCache>
                <c:formatCode>General</c:formatCode>
                <c:ptCount val="7"/>
                <c:pt idx="0">
                  <c:v>1910</c:v>
                </c:pt>
                <c:pt idx="1">
                  <c:v>1915</c:v>
                </c:pt>
                <c:pt idx="2">
                  <c:v>1920</c:v>
                </c:pt>
                <c:pt idx="3">
                  <c:v>1925</c:v>
                </c:pt>
                <c:pt idx="4">
                  <c:v>1930</c:v>
                </c:pt>
                <c:pt idx="5">
                  <c:v>1935</c:v>
                </c:pt>
                <c:pt idx="6">
                  <c:v>1940</c:v>
                </c:pt>
              </c:numCache>
            </c:numRef>
          </c:cat>
          <c:val>
            <c:numRef>
              <c:f>Sheet1!$C$2:$C$8</c:f>
              <c:numCache>
                <c:formatCode>General</c:formatCode>
                <c:ptCount val="7"/>
                <c:pt idx="0">
                  <c:v>7.9</c:v>
                </c:pt>
                <c:pt idx="1">
                  <c:v>10.9</c:v>
                </c:pt>
                <c:pt idx="2">
                  <c:v>7.1</c:v>
                </c:pt>
                <c:pt idx="3">
                  <c:v>7.1</c:v>
                </c:pt>
                <c:pt idx="4">
                  <c:v>12.7</c:v>
                </c:pt>
                <c:pt idx="5">
                  <c:v>9.6</c:v>
                </c:pt>
                <c:pt idx="6">
                  <c:v>5.8</c:v>
                </c:pt>
              </c:numCache>
            </c:numRef>
          </c:val>
        </c:ser>
        <c:dLbls>
          <c:showLegendKey val="0"/>
          <c:showVal val="0"/>
          <c:showCatName val="0"/>
          <c:showSerName val="0"/>
          <c:showPercent val="0"/>
          <c:showBubbleSize val="0"/>
        </c:dLbls>
        <c:gapWidth val="150"/>
        <c:axId val="39113472"/>
        <c:axId val="39115008"/>
      </c:barChart>
      <c:catAx>
        <c:axId val="39113472"/>
        <c:scaling>
          <c:orientation val="minMax"/>
        </c:scaling>
        <c:delete val="0"/>
        <c:axPos val="b"/>
        <c:numFmt formatCode="General" sourceLinked="1"/>
        <c:majorTickMark val="out"/>
        <c:minorTickMark val="none"/>
        <c:tickLblPos val="nextTo"/>
        <c:crossAx val="39115008"/>
        <c:crosses val="autoZero"/>
        <c:auto val="1"/>
        <c:lblAlgn val="ctr"/>
        <c:lblOffset val="100"/>
        <c:noMultiLvlLbl val="0"/>
      </c:catAx>
      <c:valAx>
        <c:axId val="39115008"/>
        <c:scaling>
          <c:orientation val="minMax"/>
        </c:scaling>
        <c:delete val="0"/>
        <c:axPos val="l"/>
        <c:numFmt formatCode="General" sourceLinked="1"/>
        <c:majorTickMark val="out"/>
        <c:minorTickMark val="none"/>
        <c:tickLblPos val="nextTo"/>
        <c:crossAx val="391134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Sugar </c:v>
                </c:pt>
              </c:strCache>
            </c:strRef>
          </c:tx>
          <c:invertIfNegative val="0"/>
          <c:cat>
            <c:numRef>
              <c:f>Sheet1!$A$2:$A$8</c:f>
              <c:numCache>
                <c:formatCode>General</c:formatCode>
                <c:ptCount val="7"/>
                <c:pt idx="0">
                  <c:v>1910</c:v>
                </c:pt>
                <c:pt idx="1">
                  <c:v>1915</c:v>
                </c:pt>
                <c:pt idx="2">
                  <c:v>1920</c:v>
                </c:pt>
                <c:pt idx="3">
                  <c:v>1925</c:v>
                </c:pt>
                <c:pt idx="4">
                  <c:v>1930</c:v>
                </c:pt>
                <c:pt idx="5">
                  <c:v>1935</c:v>
                </c:pt>
                <c:pt idx="6">
                  <c:v>1940</c:v>
                </c:pt>
              </c:numCache>
            </c:numRef>
          </c:cat>
          <c:val>
            <c:numRef>
              <c:f>Sheet1!$B$2:$B$8</c:f>
              <c:numCache>
                <c:formatCode>General</c:formatCode>
                <c:ptCount val="7"/>
                <c:pt idx="0">
                  <c:v>6.4</c:v>
                </c:pt>
                <c:pt idx="1">
                  <c:v>3.9</c:v>
                </c:pt>
                <c:pt idx="2">
                  <c:v>6.4</c:v>
                </c:pt>
                <c:pt idx="3">
                  <c:v>9.5</c:v>
                </c:pt>
                <c:pt idx="4">
                  <c:v>11.3</c:v>
                </c:pt>
                <c:pt idx="6">
                  <c:v>4.2</c:v>
                </c:pt>
              </c:numCache>
            </c:numRef>
          </c:val>
        </c:ser>
        <c:ser>
          <c:idx val="1"/>
          <c:order val="1"/>
          <c:tx>
            <c:strRef>
              <c:f>Sheet1!$C$1</c:f>
              <c:strCache>
                <c:ptCount val="1"/>
                <c:pt idx="0">
                  <c:v>Rubber </c:v>
                </c:pt>
              </c:strCache>
            </c:strRef>
          </c:tx>
          <c:invertIfNegative val="0"/>
          <c:cat>
            <c:numRef>
              <c:f>Sheet1!$A$2:$A$8</c:f>
              <c:numCache>
                <c:formatCode>General</c:formatCode>
                <c:ptCount val="7"/>
                <c:pt idx="0">
                  <c:v>1910</c:v>
                </c:pt>
                <c:pt idx="1">
                  <c:v>1915</c:v>
                </c:pt>
                <c:pt idx="2">
                  <c:v>1920</c:v>
                </c:pt>
                <c:pt idx="3">
                  <c:v>1925</c:v>
                </c:pt>
                <c:pt idx="4">
                  <c:v>1930</c:v>
                </c:pt>
                <c:pt idx="5">
                  <c:v>1935</c:v>
                </c:pt>
                <c:pt idx="6">
                  <c:v>1940</c:v>
                </c:pt>
              </c:numCache>
            </c:numRef>
          </c:cat>
          <c:val>
            <c:numRef>
              <c:f>Sheet1!$C$2:$C$8</c:f>
              <c:numCache>
                <c:formatCode>General</c:formatCode>
                <c:ptCount val="7"/>
                <c:pt idx="0">
                  <c:v>6.1</c:v>
                </c:pt>
                <c:pt idx="1">
                  <c:v>12.7</c:v>
                </c:pt>
                <c:pt idx="2">
                  <c:v>6.6</c:v>
                </c:pt>
                <c:pt idx="3">
                  <c:v>5</c:v>
                </c:pt>
                <c:pt idx="4">
                  <c:v>15.2</c:v>
                </c:pt>
                <c:pt idx="5">
                  <c:v>7.5</c:v>
                </c:pt>
                <c:pt idx="6">
                  <c:v>5</c:v>
                </c:pt>
              </c:numCache>
            </c:numRef>
          </c:val>
        </c:ser>
        <c:ser>
          <c:idx val="2"/>
          <c:order val="2"/>
          <c:tx>
            <c:strRef>
              <c:f>Sheet1!$D$1</c:f>
              <c:strCache>
                <c:ptCount val="1"/>
                <c:pt idx="0">
                  <c:v>Oil</c:v>
                </c:pt>
              </c:strCache>
            </c:strRef>
          </c:tx>
          <c:invertIfNegative val="0"/>
          <c:cat>
            <c:numRef>
              <c:f>Sheet1!$A$2:$A$8</c:f>
              <c:numCache>
                <c:formatCode>General</c:formatCode>
                <c:ptCount val="7"/>
                <c:pt idx="0">
                  <c:v>1910</c:v>
                </c:pt>
                <c:pt idx="1">
                  <c:v>1915</c:v>
                </c:pt>
                <c:pt idx="2">
                  <c:v>1920</c:v>
                </c:pt>
                <c:pt idx="3">
                  <c:v>1925</c:v>
                </c:pt>
                <c:pt idx="4">
                  <c:v>1930</c:v>
                </c:pt>
                <c:pt idx="5">
                  <c:v>1935</c:v>
                </c:pt>
                <c:pt idx="6">
                  <c:v>1940</c:v>
                </c:pt>
              </c:numCache>
            </c:numRef>
          </c:cat>
          <c:val>
            <c:numRef>
              <c:f>Sheet1!$D$2:$D$8</c:f>
              <c:numCache>
                <c:formatCode>General</c:formatCode>
                <c:ptCount val="7"/>
                <c:pt idx="0">
                  <c:v>6.7</c:v>
                </c:pt>
                <c:pt idx="1">
                  <c:v>6</c:v>
                </c:pt>
                <c:pt idx="2">
                  <c:v>5.5</c:v>
                </c:pt>
                <c:pt idx="3">
                  <c:v>6.1</c:v>
                </c:pt>
                <c:pt idx="4">
                  <c:v>6.6</c:v>
                </c:pt>
                <c:pt idx="5">
                  <c:v>3.9</c:v>
                </c:pt>
                <c:pt idx="6">
                  <c:v>7.7</c:v>
                </c:pt>
              </c:numCache>
            </c:numRef>
          </c:val>
        </c:ser>
        <c:dLbls>
          <c:showLegendKey val="0"/>
          <c:showVal val="0"/>
          <c:showCatName val="0"/>
          <c:showSerName val="0"/>
          <c:showPercent val="0"/>
          <c:showBubbleSize val="0"/>
        </c:dLbls>
        <c:gapWidth val="150"/>
        <c:axId val="40795520"/>
        <c:axId val="40801408"/>
      </c:barChart>
      <c:catAx>
        <c:axId val="40795520"/>
        <c:scaling>
          <c:orientation val="minMax"/>
        </c:scaling>
        <c:delete val="0"/>
        <c:axPos val="b"/>
        <c:numFmt formatCode="General" sourceLinked="1"/>
        <c:majorTickMark val="out"/>
        <c:minorTickMark val="none"/>
        <c:tickLblPos val="nextTo"/>
        <c:crossAx val="40801408"/>
        <c:crosses val="autoZero"/>
        <c:auto val="1"/>
        <c:lblAlgn val="ctr"/>
        <c:lblOffset val="100"/>
        <c:noMultiLvlLbl val="0"/>
      </c:catAx>
      <c:valAx>
        <c:axId val="40801408"/>
        <c:scaling>
          <c:orientation val="minMax"/>
        </c:scaling>
        <c:delete val="0"/>
        <c:axPos val="l"/>
        <c:majorGridlines/>
        <c:numFmt formatCode="General" sourceLinked="1"/>
        <c:majorTickMark val="out"/>
        <c:minorTickMark val="none"/>
        <c:tickLblPos val="nextTo"/>
        <c:crossAx val="4079552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Tobacco</c:v>
                </c:pt>
              </c:strCache>
            </c:strRef>
          </c:tx>
          <c:invertIfNegative val="0"/>
          <c:cat>
            <c:numRef>
              <c:f>Sheet1!$A$2:$A$8</c:f>
              <c:numCache>
                <c:formatCode>General</c:formatCode>
                <c:ptCount val="7"/>
                <c:pt idx="0">
                  <c:v>1910</c:v>
                </c:pt>
                <c:pt idx="1">
                  <c:v>1915</c:v>
                </c:pt>
                <c:pt idx="2">
                  <c:v>1920</c:v>
                </c:pt>
                <c:pt idx="3">
                  <c:v>1925</c:v>
                </c:pt>
                <c:pt idx="4">
                  <c:v>1930</c:v>
                </c:pt>
                <c:pt idx="5">
                  <c:v>1935</c:v>
                </c:pt>
                <c:pt idx="6">
                  <c:v>1940</c:v>
                </c:pt>
              </c:numCache>
            </c:numRef>
          </c:cat>
          <c:val>
            <c:numRef>
              <c:f>Sheet1!$B$2:$B$8</c:f>
              <c:numCache>
                <c:formatCode>General</c:formatCode>
                <c:ptCount val="7"/>
                <c:pt idx="0">
                  <c:v>8.5</c:v>
                </c:pt>
                <c:pt idx="1">
                  <c:v>8</c:v>
                </c:pt>
                <c:pt idx="2">
                  <c:v>7.5</c:v>
                </c:pt>
                <c:pt idx="3">
                  <c:v>4.4000000000000004</c:v>
                </c:pt>
                <c:pt idx="4">
                  <c:v>10</c:v>
                </c:pt>
                <c:pt idx="6">
                  <c:v>4.4000000000000004</c:v>
                </c:pt>
              </c:numCache>
            </c:numRef>
          </c:val>
        </c:ser>
        <c:ser>
          <c:idx val="1"/>
          <c:order val="1"/>
          <c:tx>
            <c:strRef>
              <c:f>Sheet1!$C$1</c:f>
              <c:strCache>
                <c:ptCount val="1"/>
                <c:pt idx="0">
                  <c:v>Coffee</c:v>
                </c:pt>
              </c:strCache>
            </c:strRef>
          </c:tx>
          <c:invertIfNegative val="0"/>
          <c:cat>
            <c:numRef>
              <c:f>Sheet1!$A$2:$A$8</c:f>
              <c:numCache>
                <c:formatCode>General</c:formatCode>
                <c:ptCount val="7"/>
                <c:pt idx="0">
                  <c:v>1910</c:v>
                </c:pt>
                <c:pt idx="1">
                  <c:v>1915</c:v>
                </c:pt>
                <c:pt idx="2">
                  <c:v>1920</c:v>
                </c:pt>
                <c:pt idx="3">
                  <c:v>1925</c:v>
                </c:pt>
                <c:pt idx="4">
                  <c:v>1930</c:v>
                </c:pt>
                <c:pt idx="5">
                  <c:v>1935</c:v>
                </c:pt>
                <c:pt idx="6">
                  <c:v>1940</c:v>
                </c:pt>
              </c:numCache>
            </c:numRef>
          </c:cat>
          <c:val>
            <c:numRef>
              <c:f>Sheet1!$C$2:$C$8</c:f>
              <c:numCache>
                <c:formatCode>General</c:formatCode>
                <c:ptCount val="7"/>
                <c:pt idx="3">
                  <c:v>9.5</c:v>
                </c:pt>
                <c:pt idx="4">
                  <c:v>20.7</c:v>
                </c:pt>
                <c:pt idx="5">
                  <c:v>5.7</c:v>
                </c:pt>
                <c:pt idx="6">
                  <c:v>7.1</c:v>
                </c:pt>
              </c:numCache>
            </c:numRef>
          </c:val>
        </c:ser>
        <c:ser>
          <c:idx val="2"/>
          <c:order val="2"/>
          <c:tx>
            <c:strRef>
              <c:f>Sheet1!$D$1</c:f>
              <c:strCache>
                <c:ptCount val="1"/>
                <c:pt idx="0">
                  <c:v>Tea</c:v>
                </c:pt>
              </c:strCache>
            </c:strRef>
          </c:tx>
          <c:invertIfNegative val="0"/>
          <c:cat>
            <c:numRef>
              <c:f>Sheet1!$A$2:$A$8</c:f>
              <c:numCache>
                <c:formatCode>General</c:formatCode>
                <c:ptCount val="7"/>
                <c:pt idx="0">
                  <c:v>1910</c:v>
                </c:pt>
                <c:pt idx="1">
                  <c:v>1915</c:v>
                </c:pt>
                <c:pt idx="2">
                  <c:v>1920</c:v>
                </c:pt>
                <c:pt idx="3">
                  <c:v>1925</c:v>
                </c:pt>
                <c:pt idx="4">
                  <c:v>1930</c:v>
                </c:pt>
                <c:pt idx="5">
                  <c:v>1935</c:v>
                </c:pt>
                <c:pt idx="6">
                  <c:v>1940</c:v>
                </c:pt>
              </c:numCache>
            </c:numRef>
          </c:cat>
          <c:val>
            <c:numRef>
              <c:f>Sheet1!$D$2:$D$8</c:f>
              <c:numCache>
                <c:formatCode>General</c:formatCode>
                <c:ptCount val="7"/>
                <c:pt idx="3">
                  <c:v>6.1</c:v>
                </c:pt>
                <c:pt idx="4">
                  <c:v>10</c:v>
                </c:pt>
                <c:pt idx="5">
                  <c:v>5.7</c:v>
                </c:pt>
                <c:pt idx="6">
                  <c:v>6.2</c:v>
                </c:pt>
              </c:numCache>
            </c:numRef>
          </c:val>
        </c:ser>
        <c:dLbls>
          <c:showLegendKey val="0"/>
          <c:showVal val="0"/>
          <c:showCatName val="0"/>
          <c:showSerName val="0"/>
          <c:showPercent val="0"/>
          <c:showBubbleSize val="0"/>
        </c:dLbls>
        <c:gapWidth val="150"/>
        <c:axId val="39123200"/>
        <c:axId val="39325696"/>
      </c:barChart>
      <c:catAx>
        <c:axId val="39123200"/>
        <c:scaling>
          <c:orientation val="minMax"/>
        </c:scaling>
        <c:delete val="0"/>
        <c:axPos val="b"/>
        <c:numFmt formatCode="General" sourceLinked="1"/>
        <c:majorTickMark val="out"/>
        <c:minorTickMark val="none"/>
        <c:tickLblPos val="nextTo"/>
        <c:crossAx val="39325696"/>
        <c:crosses val="autoZero"/>
        <c:auto val="1"/>
        <c:lblAlgn val="ctr"/>
        <c:lblOffset val="100"/>
        <c:noMultiLvlLbl val="0"/>
      </c:catAx>
      <c:valAx>
        <c:axId val="39325696"/>
        <c:scaling>
          <c:orientation val="minMax"/>
        </c:scaling>
        <c:delete val="0"/>
        <c:axPos val="l"/>
        <c:majorGridlines/>
        <c:numFmt formatCode="General" sourceLinked="1"/>
        <c:majorTickMark val="out"/>
        <c:minorTickMark val="none"/>
        <c:tickLblPos val="nextTo"/>
        <c:crossAx val="3912320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Banking</c:v>
                </c:pt>
              </c:strCache>
            </c:strRef>
          </c:tx>
          <c:invertIfNegative val="0"/>
          <c:cat>
            <c:numRef>
              <c:f>Sheet1!$A$2:$A$8</c:f>
              <c:numCache>
                <c:formatCode>General</c:formatCode>
                <c:ptCount val="7"/>
                <c:pt idx="0">
                  <c:v>1910</c:v>
                </c:pt>
                <c:pt idx="1">
                  <c:v>1915</c:v>
                </c:pt>
                <c:pt idx="2">
                  <c:v>1920</c:v>
                </c:pt>
                <c:pt idx="3">
                  <c:v>1925</c:v>
                </c:pt>
                <c:pt idx="4">
                  <c:v>1930</c:v>
                </c:pt>
                <c:pt idx="5">
                  <c:v>1935</c:v>
                </c:pt>
                <c:pt idx="6">
                  <c:v>1940</c:v>
                </c:pt>
              </c:numCache>
            </c:numRef>
          </c:cat>
          <c:val>
            <c:numRef>
              <c:f>Sheet1!$B$2:$B$8</c:f>
              <c:numCache>
                <c:formatCode>General</c:formatCode>
                <c:ptCount val="7"/>
                <c:pt idx="0">
                  <c:v>5.4</c:v>
                </c:pt>
                <c:pt idx="1">
                  <c:v>21.7</c:v>
                </c:pt>
                <c:pt idx="2">
                  <c:v>6</c:v>
                </c:pt>
                <c:pt idx="5">
                  <c:v>34.9</c:v>
                </c:pt>
              </c:numCache>
            </c:numRef>
          </c:val>
        </c:ser>
        <c:ser>
          <c:idx val="1"/>
          <c:order val="1"/>
          <c:tx>
            <c:strRef>
              <c:f>Sheet1!$C$1</c:f>
              <c:strCache>
                <c:ptCount val="1"/>
                <c:pt idx="0">
                  <c:v>Shipping</c:v>
                </c:pt>
              </c:strCache>
            </c:strRef>
          </c:tx>
          <c:invertIfNegative val="0"/>
          <c:cat>
            <c:numRef>
              <c:f>Sheet1!$A$2:$A$8</c:f>
              <c:numCache>
                <c:formatCode>General</c:formatCode>
                <c:ptCount val="7"/>
                <c:pt idx="0">
                  <c:v>1910</c:v>
                </c:pt>
                <c:pt idx="1">
                  <c:v>1915</c:v>
                </c:pt>
                <c:pt idx="2">
                  <c:v>1920</c:v>
                </c:pt>
                <c:pt idx="3">
                  <c:v>1925</c:v>
                </c:pt>
                <c:pt idx="4">
                  <c:v>1930</c:v>
                </c:pt>
                <c:pt idx="5">
                  <c:v>1935</c:v>
                </c:pt>
                <c:pt idx="6">
                  <c:v>1940</c:v>
                </c:pt>
              </c:numCache>
            </c:numRef>
          </c:cat>
          <c:val>
            <c:numRef>
              <c:f>Sheet1!$C$2:$C$8</c:f>
              <c:numCache>
                <c:formatCode>General</c:formatCode>
                <c:ptCount val="7"/>
                <c:pt idx="0">
                  <c:v>4.7</c:v>
                </c:pt>
                <c:pt idx="1">
                  <c:v>5</c:v>
                </c:pt>
                <c:pt idx="2">
                  <c:v>8.1999999999999993</c:v>
                </c:pt>
                <c:pt idx="3">
                  <c:v>4.0999999999999996</c:v>
                </c:pt>
                <c:pt idx="4">
                  <c:v>9.6</c:v>
                </c:pt>
                <c:pt idx="6">
                  <c:v>6</c:v>
                </c:pt>
              </c:numCache>
            </c:numRef>
          </c:val>
        </c:ser>
        <c:ser>
          <c:idx val="2"/>
          <c:order val="2"/>
          <c:tx>
            <c:strRef>
              <c:f>Sheet1!$D$1</c:f>
              <c:strCache>
                <c:ptCount val="1"/>
                <c:pt idx="0">
                  <c:v>Trading</c:v>
                </c:pt>
              </c:strCache>
            </c:strRef>
          </c:tx>
          <c:invertIfNegative val="0"/>
          <c:cat>
            <c:numRef>
              <c:f>Sheet1!$A$2:$A$8</c:f>
              <c:numCache>
                <c:formatCode>General</c:formatCode>
                <c:ptCount val="7"/>
                <c:pt idx="0">
                  <c:v>1910</c:v>
                </c:pt>
                <c:pt idx="1">
                  <c:v>1915</c:v>
                </c:pt>
                <c:pt idx="2">
                  <c:v>1920</c:v>
                </c:pt>
                <c:pt idx="3">
                  <c:v>1925</c:v>
                </c:pt>
                <c:pt idx="4">
                  <c:v>1930</c:v>
                </c:pt>
                <c:pt idx="5">
                  <c:v>1935</c:v>
                </c:pt>
                <c:pt idx="6">
                  <c:v>1940</c:v>
                </c:pt>
              </c:numCache>
            </c:numRef>
          </c:cat>
          <c:val>
            <c:numRef>
              <c:f>Sheet1!$D$2:$D$8</c:f>
              <c:numCache>
                <c:formatCode>General</c:formatCode>
                <c:ptCount val="7"/>
                <c:pt idx="0">
                  <c:v>5.0999999999999996</c:v>
                </c:pt>
                <c:pt idx="1">
                  <c:v>10</c:v>
                </c:pt>
                <c:pt idx="2">
                  <c:v>8.6999999999999993</c:v>
                </c:pt>
                <c:pt idx="4">
                  <c:v>9.3000000000000007</c:v>
                </c:pt>
                <c:pt idx="6">
                  <c:v>5.7</c:v>
                </c:pt>
              </c:numCache>
            </c:numRef>
          </c:val>
        </c:ser>
        <c:ser>
          <c:idx val="3"/>
          <c:order val="3"/>
          <c:tx>
            <c:strRef>
              <c:f>Sheet1!$E$1</c:f>
              <c:strCache>
                <c:ptCount val="1"/>
                <c:pt idx="0">
                  <c:v>Transport</c:v>
                </c:pt>
              </c:strCache>
            </c:strRef>
          </c:tx>
          <c:invertIfNegative val="0"/>
          <c:cat>
            <c:numRef>
              <c:f>Sheet1!$A$2:$A$8</c:f>
              <c:numCache>
                <c:formatCode>General</c:formatCode>
                <c:ptCount val="7"/>
                <c:pt idx="0">
                  <c:v>1910</c:v>
                </c:pt>
                <c:pt idx="1">
                  <c:v>1915</c:v>
                </c:pt>
                <c:pt idx="2">
                  <c:v>1920</c:v>
                </c:pt>
                <c:pt idx="3">
                  <c:v>1925</c:v>
                </c:pt>
                <c:pt idx="4">
                  <c:v>1930</c:v>
                </c:pt>
                <c:pt idx="5">
                  <c:v>1935</c:v>
                </c:pt>
                <c:pt idx="6">
                  <c:v>1940</c:v>
                </c:pt>
              </c:numCache>
            </c:numRef>
          </c:cat>
          <c:val>
            <c:numRef>
              <c:f>Sheet1!$E$2:$E$8</c:f>
              <c:numCache>
                <c:formatCode>General</c:formatCode>
                <c:ptCount val="7"/>
                <c:pt idx="0">
                  <c:v>6.3</c:v>
                </c:pt>
                <c:pt idx="1">
                  <c:v>11.3</c:v>
                </c:pt>
                <c:pt idx="2">
                  <c:v>6.2</c:v>
                </c:pt>
                <c:pt idx="3">
                  <c:v>8.6999999999999993</c:v>
                </c:pt>
                <c:pt idx="4">
                  <c:v>15</c:v>
                </c:pt>
              </c:numCache>
            </c:numRef>
          </c:val>
        </c:ser>
        <c:dLbls>
          <c:showLegendKey val="0"/>
          <c:showVal val="0"/>
          <c:showCatName val="0"/>
          <c:showSerName val="0"/>
          <c:showPercent val="0"/>
          <c:showBubbleSize val="0"/>
        </c:dLbls>
        <c:gapWidth val="150"/>
        <c:axId val="39085568"/>
        <c:axId val="39087104"/>
      </c:barChart>
      <c:catAx>
        <c:axId val="39085568"/>
        <c:scaling>
          <c:orientation val="minMax"/>
        </c:scaling>
        <c:delete val="0"/>
        <c:axPos val="b"/>
        <c:numFmt formatCode="General" sourceLinked="1"/>
        <c:majorTickMark val="out"/>
        <c:minorTickMark val="none"/>
        <c:tickLblPos val="nextTo"/>
        <c:crossAx val="39087104"/>
        <c:crosses val="autoZero"/>
        <c:auto val="1"/>
        <c:lblAlgn val="ctr"/>
        <c:lblOffset val="100"/>
        <c:noMultiLvlLbl val="0"/>
      </c:catAx>
      <c:valAx>
        <c:axId val="39087104"/>
        <c:scaling>
          <c:orientation val="minMax"/>
        </c:scaling>
        <c:delete val="0"/>
        <c:axPos val="l"/>
        <c:majorGridlines/>
        <c:numFmt formatCode="General" sourceLinked="1"/>
        <c:majorTickMark val="out"/>
        <c:minorTickMark val="none"/>
        <c:tickLblPos val="nextTo"/>
        <c:crossAx val="390855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50F0F-9D2B-4B00-AB38-9D5DC5EA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17</Pages>
  <Words>4630</Words>
  <Characters>25470</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30040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Lindblad</dc:creator>
  <cp:lastModifiedBy>Lindblad</cp:lastModifiedBy>
  <cp:revision>22</cp:revision>
  <cp:lastPrinted>2016-07-31T07:45:00Z</cp:lastPrinted>
  <dcterms:created xsi:type="dcterms:W3CDTF">2016-07-27T12:06:00Z</dcterms:created>
  <dcterms:modified xsi:type="dcterms:W3CDTF">2016-07-31T10:32:00Z</dcterms:modified>
</cp:coreProperties>
</file>